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BF5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cs="宋体"/>
          <w:b/>
          <w:bCs/>
          <w:color w:val="000000" w:themeColor="text1"/>
          <w:sz w:val="28"/>
          <w:szCs w:val="28"/>
          <w:highlight w:val="none"/>
          <w:lang w:val="en-US" w:eastAsia="zh-CN"/>
          <w14:textFill>
            <w14:solidFill>
              <w14:schemeClr w14:val="tx1"/>
            </w14:solidFill>
          </w14:textFill>
        </w:rPr>
      </w:pPr>
      <w:bookmarkStart w:id="78" w:name="_GoBack"/>
      <w:bookmarkEnd w:id="78"/>
      <w:r>
        <w:rPr>
          <w:rFonts w:hint="eastAsia" w:ascii="宋体" w:hAnsi="宋体" w:cs="宋体"/>
          <w:b/>
          <w:bCs/>
          <w:color w:val="000000" w:themeColor="text1"/>
          <w:sz w:val="28"/>
          <w:szCs w:val="28"/>
          <w:highlight w:val="none"/>
          <w:lang w:val="en-US" w:eastAsia="zh-CN"/>
          <w14:textFill>
            <w14:solidFill>
              <w14:schemeClr w14:val="tx1"/>
            </w14:solidFill>
          </w14:textFill>
        </w:rPr>
        <w:t>管材类</w:t>
      </w:r>
    </w:p>
    <w:p w14:paraId="3256BD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附件1：管材类设备询价</w:t>
      </w:r>
      <w:r>
        <w:rPr>
          <w:rFonts w:hint="eastAsia" w:ascii="宋体" w:hAnsi="宋体" w:cs="宋体"/>
          <w:color w:val="000000" w:themeColor="text1"/>
          <w:sz w:val="28"/>
          <w:szCs w:val="28"/>
          <w:highlight w:val="none"/>
          <w14:textFill>
            <w14:solidFill>
              <w14:schemeClr w14:val="tx1"/>
            </w14:solidFill>
          </w14:textFill>
        </w:rPr>
        <w:t>清单及要求</w:t>
      </w:r>
    </w:p>
    <w:tbl>
      <w:tblPr>
        <w:tblStyle w:val="11"/>
        <w:tblW w:w="9889"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766"/>
        <w:gridCol w:w="1189"/>
        <w:gridCol w:w="700"/>
        <w:gridCol w:w="956"/>
        <w:gridCol w:w="1566"/>
        <w:gridCol w:w="2978"/>
      </w:tblGrid>
      <w:tr w14:paraId="348B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49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4C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8D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56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12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EAB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材质</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4EF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949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3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6432">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球墨铸铁管(T型接口</w:t>
            </w:r>
            <w:r>
              <w:rPr>
                <w:rFonts w:hint="eastAsia" w:ascii="宋体" w:hAnsi="宋体" w:cs="宋体"/>
                <w:i w:val="0"/>
                <w:color w:val="000000"/>
                <w:kern w:val="0"/>
                <w:sz w:val="20"/>
                <w:szCs w:val="20"/>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27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C1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261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1038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F2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31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放坡开挖，放坡形式及基础详见结构工程</w:t>
            </w:r>
          </w:p>
        </w:tc>
      </w:tr>
      <w:tr w14:paraId="56AF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4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0ACF">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球墨铸铁管(自锚式接口</w:t>
            </w:r>
            <w:r>
              <w:rPr>
                <w:rFonts w:hint="eastAsia" w:ascii="宋体" w:hAnsi="宋体" w:cs="宋体"/>
                <w:i w:val="0"/>
                <w:color w:val="000000"/>
                <w:kern w:val="0"/>
                <w:sz w:val="20"/>
                <w:szCs w:val="20"/>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F6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F7F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69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72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04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912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放坡开挖，放坡形式及基础详见结构工程</w:t>
            </w:r>
          </w:p>
        </w:tc>
      </w:tr>
      <w:tr w14:paraId="1A5E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EC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DD9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4A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DN1600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29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E3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124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EA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DBF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管桥段，放坡开挖，焊接，δ=18,放坡形式及基础详见结构工程</w:t>
            </w:r>
          </w:p>
        </w:tc>
      </w:tr>
      <w:tr w14:paraId="6492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9F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214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B2E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DN1600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3EE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20AF">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174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EB2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9DAF">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钢板桩支护，焊接，δ=14,支护长度及基础详见结构工程</w:t>
            </w:r>
          </w:p>
        </w:tc>
      </w:tr>
      <w:tr w14:paraId="70A1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7E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F4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9A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DN1200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B6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2D6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64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0F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555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钢板桩支护，焊接，δ=12,支护长度及基础详见结构工程</w:t>
            </w:r>
          </w:p>
        </w:tc>
      </w:tr>
      <w:tr w14:paraId="45A6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55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1E2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12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DN1200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42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1D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51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06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43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放坡开挖，焊接，δ=12,放坡形式及基础详见结构工程</w:t>
            </w:r>
          </w:p>
        </w:tc>
      </w:tr>
      <w:tr w14:paraId="20D6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65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941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FC8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52F">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470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140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081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09D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放坡开挖，焊接，δ=10,放坡形式及基础详见结构工程</w:t>
            </w:r>
          </w:p>
        </w:tc>
      </w:tr>
      <w:tr w14:paraId="3EDF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0DA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C45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36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DN800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C2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059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149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1A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56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放坡开挖，焊接，δ=10,放坡形式及基础详见结构工程</w:t>
            </w:r>
          </w:p>
        </w:tc>
      </w:tr>
      <w:tr w14:paraId="4018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9B2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C3C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01F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DN800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54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A71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317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5AC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E1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管桥施工临时新建管，放坡开挖，放坡形式及基础详见结构工程，δ=10</w:t>
            </w:r>
          </w:p>
        </w:tc>
      </w:tr>
      <w:tr w14:paraId="65C1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B47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35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自锚式球墨铸铁盘插管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C18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1316">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7B5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51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18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出厂时需做好防腐，运送至项目现场</w:t>
            </w:r>
          </w:p>
        </w:tc>
      </w:tr>
      <w:tr w14:paraId="6231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03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42D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自锚式球墨铸铁盘承管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49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674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E3B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8BB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AC3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出厂时需做好防腐，运送至项目现场</w:t>
            </w:r>
          </w:p>
        </w:tc>
      </w:tr>
      <w:tr w14:paraId="7E9C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D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AAF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T型球墨铸铁盘承管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C2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3E4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59A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804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840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出厂时需做好防腐，运送至项目现场</w:t>
            </w:r>
          </w:p>
        </w:tc>
      </w:tr>
      <w:tr w14:paraId="325B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3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128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T型球墨铸铁盘插管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9BB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4F1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13B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C75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83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出厂时需做好防腐，运送至项目现场</w:t>
            </w:r>
          </w:p>
        </w:tc>
      </w:tr>
      <w:tr w14:paraId="11D9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98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14D370">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left"/>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注:</w:t>
            </w:r>
          </w:p>
          <w:p w14:paraId="7B76A1A8">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t>报价要求：</w:t>
            </w:r>
          </w:p>
          <w:p w14:paraId="36C899D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eastAsia" w:ascii="宋体" w:hAnsi="宋体" w:eastAsia="宋体" w:cs="宋体"/>
                <w:b w:val="0"/>
                <w:i w:val="0"/>
                <w:iCs w:val="0"/>
                <w:color w:val="auto"/>
                <w:spacing w:val="0"/>
                <w:kern w:val="0"/>
                <w:sz w:val="20"/>
                <w:szCs w:val="20"/>
                <w:u w:val="none"/>
                <w:lang w:val="en-US" w:eastAsia="zh-CN" w:bidi="ar"/>
              </w:rPr>
            </w:pPr>
            <w:r>
              <w:rPr>
                <w:rFonts w:hint="eastAsia" w:ascii="宋体" w:hAnsi="宋体" w:eastAsia="宋体" w:cs="宋体"/>
                <w:b w:val="0"/>
                <w:i w:val="0"/>
                <w:iCs w:val="0"/>
                <w:color w:val="auto"/>
                <w:spacing w:val="0"/>
                <w:kern w:val="0"/>
                <w:sz w:val="20"/>
                <w:szCs w:val="20"/>
                <w:u w:val="none"/>
                <w:lang w:val="en-US" w:eastAsia="zh-CN" w:bidi="ar"/>
              </w:rPr>
              <w:t>交货期：按施工进度分批送货，在接到买方送货通知后，10个工作日内按要求规格、数量送到施工现场。</w:t>
            </w:r>
          </w:p>
          <w:p w14:paraId="1FB96FC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default"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t>报价必须包括货物的所有费用，包括采购、运输、卸货、管理、利润、税金、保险、协调、售后服务以及所有的不定因素的风险等。</w:t>
            </w:r>
          </w:p>
          <w:p w14:paraId="5CC65F1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default"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t>在本表中的设备未列明安装材料的，由供应商自行提供货物安装时需要的所有辅助材料及配件。</w:t>
            </w:r>
          </w:p>
          <w:p w14:paraId="3B321AC2">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技术标准</w:t>
            </w:r>
            <w:bookmarkStart w:id="0" w:name="_Toc18970"/>
            <w:bookmarkStart w:id="1" w:name="_Toc14941"/>
            <w:bookmarkStart w:id="2" w:name="_Toc23020"/>
            <w:bookmarkStart w:id="3" w:name="_Toc32661"/>
            <w:bookmarkStart w:id="4" w:name="_Toc16745"/>
            <w:bookmarkStart w:id="5" w:name="_Toc4343"/>
          </w:p>
          <w:p w14:paraId="22F7AC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02" w:firstLineChars="200"/>
              <w:jc w:val="left"/>
              <w:textAlignment w:val="top"/>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t>1.  球墨铸铁管</w:t>
            </w:r>
            <w:bookmarkEnd w:id="0"/>
            <w:bookmarkEnd w:id="1"/>
            <w:bookmarkEnd w:id="2"/>
            <w:bookmarkEnd w:id="3"/>
            <w:bookmarkEnd w:id="4"/>
            <w:bookmarkEnd w:id="5"/>
          </w:p>
          <w:p w14:paraId="2840EF0C">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6" w:name="_Toc14013"/>
            <w:bookmarkStart w:id="7" w:name="_Toc22076"/>
            <w:bookmarkStart w:id="8" w:name="_Toc6665"/>
            <w:bookmarkStart w:id="9" w:name="_Toc14636"/>
            <w:bookmarkStart w:id="10" w:name="_Toc12146"/>
            <w:bookmarkStart w:id="11" w:name="_Toc28923"/>
            <w:bookmarkStart w:id="12" w:name="_Toc4013"/>
            <w:bookmarkStart w:id="13" w:name="_Toc30746"/>
            <w:bookmarkStart w:id="14" w:name="_Toc11426"/>
            <w:r>
              <w:rPr>
                <w:rFonts w:hint="eastAsia" w:ascii="宋体" w:hAnsi="宋体" w:eastAsia="宋体" w:cs="宋体"/>
                <w:b/>
                <w:color w:val="auto"/>
                <w:sz w:val="20"/>
                <w:szCs w:val="20"/>
                <w:highlight w:val="none"/>
              </w:rPr>
              <w:t>类型</w:t>
            </w:r>
            <w:bookmarkEnd w:id="6"/>
            <w:bookmarkEnd w:id="7"/>
            <w:bookmarkEnd w:id="8"/>
            <w:bookmarkEnd w:id="9"/>
            <w:bookmarkEnd w:id="10"/>
            <w:bookmarkEnd w:id="11"/>
          </w:p>
          <w:p w14:paraId="50BB839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本次采购为K</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级别的各型号离心球墨铸铁管。未特别注明，离心球墨铸铁管的接口方式采用T型或K型（不含外K型）接口。</w:t>
            </w:r>
          </w:p>
          <w:p w14:paraId="542367AD">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15" w:name="_Toc107743595"/>
            <w:bookmarkStart w:id="16" w:name="_Toc30258"/>
            <w:bookmarkStart w:id="17" w:name="_Toc5950"/>
            <w:bookmarkStart w:id="18" w:name="_Toc9107"/>
            <w:bookmarkStart w:id="19" w:name="_Toc24904"/>
            <w:bookmarkStart w:id="20" w:name="_Toc16060"/>
            <w:bookmarkStart w:id="21" w:name="_Toc2386"/>
            <w:r>
              <w:rPr>
                <w:rFonts w:hint="eastAsia" w:ascii="宋体" w:hAnsi="宋体" w:eastAsia="宋体" w:cs="宋体"/>
                <w:b/>
                <w:color w:val="auto"/>
                <w:sz w:val="20"/>
                <w:szCs w:val="20"/>
                <w:highlight w:val="none"/>
              </w:rPr>
              <w:t>尺寸、外形、重量</w:t>
            </w:r>
            <w:bookmarkEnd w:id="15"/>
            <w:r>
              <w:rPr>
                <w:rFonts w:hint="eastAsia" w:ascii="宋体" w:hAnsi="宋体" w:eastAsia="宋体" w:cs="宋体"/>
                <w:b/>
                <w:color w:val="auto"/>
                <w:sz w:val="20"/>
                <w:szCs w:val="20"/>
                <w:highlight w:val="none"/>
              </w:rPr>
              <w:t>及允许偏差</w:t>
            </w:r>
            <w:bookmarkEnd w:id="16"/>
            <w:bookmarkEnd w:id="17"/>
            <w:bookmarkEnd w:id="18"/>
            <w:bookmarkEnd w:id="19"/>
            <w:bookmarkEnd w:id="20"/>
            <w:bookmarkEnd w:id="21"/>
          </w:p>
          <w:p w14:paraId="5AABFA7C">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bookmarkStart w:id="22" w:name="_Toc107743597"/>
            <w:r>
              <w:rPr>
                <w:rFonts w:hint="eastAsia" w:ascii="宋体" w:hAnsi="宋体" w:eastAsia="宋体" w:cs="宋体"/>
                <w:color w:val="auto"/>
                <w:sz w:val="20"/>
                <w:szCs w:val="20"/>
                <w:highlight w:val="none"/>
              </w:rPr>
              <w:t>（1）管件名称和符号应符合《水及燃气用球墨铸铁管、管件和附件》（GB/T13295）表1的规定。</w:t>
            </w:r>
          </w:p>
          <w:p w14:paraId="7C85E0E3">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（2）管道标准长度为6m，也可按照实际需要。</w:t>
            </w:r>
          </w:p>
          <w:p w14:paraId="3D6A0ED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（3）接口尺寸</w:t>
            </w:r>
          </w:p>
          <w:p w14:paraId="51E87B13">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球墨铸铁管采用T型或K型（不含外K型）接口，接口要求应符合《水及燃气用球墨铸铁管、管件和附件》（GB/T13295）规范中4.1.3、5.2及5.3规定。</w:t>
            </w:r>
          </w:p>
          <w:p w14:paraId="253CC7A6">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（4）长度及允许偏差</w:t>
            </w:r>
          </w:p>
          <w:p w14:paraId="07005EA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1）承插直管厂方设计长度应在《水及燃气用球墨铸铁管、管件和附件》（GB/T13295）规范中表4给出的标准长度偏差范围，并且应在说明书中注明。实际长度与厂方设计长度相差值不得超过-30～+70mm，在厂方提供的各种规格的承插直管总数中，短尺管比例不得超过10%；承接管件的长度偏差不得超过±20mm；法兰管或法兰接管件的长度偏差不得超过±10mm；</w:t>
            </w:r>
          </w:p>
          <w:p w14:paraId="145F4F86">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（5）管径、壁厚及允许偏差</w:t>
            </w:r>
          </w:p>
          <w:p w14:paraId="2B6DA0BE">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管与管件插口端外径DE的正公差、插口椭圆度、承口内径、极限直径偏差应符合《水及燃气用球墨铸铁管、管件和附件》（GB/T13295）4.2.2、4.2.3的规定。</w:t>
            </w:r>
          </w:p>
          <w:bookmarkEnd w:id="22"/>
          <w:p w14:paraId="32FA1805">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23" w:name="_Toc29294"/>
            <w:bookmarkStart w:id="24" w:name="_Toc9381"/>
            <w:bookmarkStart w:id="25" w:name="_Toc20703"/>
            <w:bookmarkStart w:id="26" w:name="_Toc9881"/>
            <w:bookmarkStart w:id="27" w:name="_Toc32645"/>
            <w:bookmarkStart w:id="28" w:name="_Toc16598"/>
            <w:r>
              <w:rPr>
                <w:rFonts w:hint="eastAsia" w:ascii="宋体" w:hAnsi="宋体" w:eastAsia="宋体" w:cs="宋体"/>
                <w:b/>
                <w:color w:val="auto"/>
                <w:sz w:val="20"/>
                <w:szCs w:val="20"/>
                <w:highlight w:val="none"/>
              </w:rPr>
              <w:t>材料力学性能</w:t>
            </w:r>
            <w:bookmarkEnd w:id="23"/>
            <w:bookmarkEnd w:id="24"/>
            <w:bookmarkEnd w:id="25"/>
            <w:bookmarkEnd w:id="26"/>
            <w:bookmarkEnd w:id="27"/>
            <w:bookmarkEnd w:id="28"/>
          </w:p>
          <w:p w14:paraId="6A67B730">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球墨铸铁管材料力学性能应符合《水及燃气用球墨铸铁管、管件和附件》（GB/T13295）的4.3规定。制造厂家必须进行相关试验并留有记录，买方有权随时查阅记录。</w:t>
            </w:r>
          </w:p>
          <w:p w14:paraId="3BB58A39">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29" w:name="_Toc8420"/>
            <w:bookmarkStart w:id="30" w:name="_Toc20361"/>
            <w:bookmarkStart w:id="31" w:name="_Toc15763"/>
            <w:bookmarkStart w:id="32" w:name="_Toc4838"/>
            <w:bookmarkStart w:id="33" w:name="_Toc27653"/>
            <w:bookmarkStart w:id="34" w:name="_Toc6888"/>
            <w:r>
              <w:rPr>
                <w:rFonts w:hint="eastAsia" w:ascii="宋体" w:hAnsi="宋体" w:eastAsia="宋体" w:cs="宋体"/>
                <w:b/>
                <w:color w:val="auto"/>
                <w:sz w:val="20"/>
                <w:szCs w:val="20"/>
                <w:highlight w:val="none"/>
              </w:rPr>
              <w:t>材质要求</w:t>
            </w:r>
            <w:bookmarkEnd w:id="29"/>
            <w:bookmarkEnd w:id="30"/>
            <w:bookmarkEnd w:id="31"/>
            <w:bookmarkEnd w:id="32"/>
            <w:bookmarkEnd w:id="33"/>
            <w:bookmarkEnd w:id="34"/>
          </w:p>
          <w:p w14:paraId="4A349B1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管材质应为铁素体基体的球墨铸铁，铁素体含量应不得小于70%，在组织中应有一定数量的球状石墨，石墨球大小6～8级,石墨球圆整度应不大于3级。组织致密，易于切削、钻孔。球墨铸铁管的磷含量不得大于0.08%，硫含量不得大于0.04%。橡胶圈材质应为三元乙丙橡胶，符合HG/T 3091的规定。提供供货产品零部件材料的具体牌号。球墨铸铁管、管件及橡胶圈均必须符合饮用水卫生要求，并提供涉水产品卫生合格许可证。</w:t>
            </w:r>
          </w:p>
          <w:tbl>
            <w:tblPr>
              <w:tblStyle w:val="1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80"/>
              <w:gridCol w:w="1260"/>
              <w:gridCol w:w="1080"/>
              <w:gridCol w:w="1080"/>
              <w:gridCol w:w="1260"/>
              <w:gridCol w:w="1458"/>
            </w:tblGrid>
            <w:tr w14:paraId="71F5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14:paraId="39833756">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离心球墨铸铁管</w:t>
                  </w:r>
                </w:p>
              </w:tc>
              <w:tc>
                <w:tcPr>
                  <w:tcW w:w="7218" w:type="dxa"/>
                  <w:gridSpan w:val="6"/>
                  <w:vAlign w:val="center"/>
                </w:tcPr>
                <w:p w14:paraId="1E5500C5">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化学成份(%)</w:t>
                  </w:r>
                </w:p>
              </w:tc>
            </w:tr>
            <w:tr w14:paraId="2AA2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14:paraId="446AF6A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p>
              </w:tc>
              <w:tc>
                <w:tcPr>
                  <w:tcW w:w="1080" w:type="dxa"/>
                  <w:vAlign w:val="center"/>
                </w:tcPr>
                <w:p w14:paraId="0D769C3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碳C</w:t>
                  </w:r>
                </w:p>
              </w:tc>
              <w:tc>
                <w:tcPr>
                  <w:tcW w:w="1260" w:type="dxa"/>
                  <w:vAlign w:val="center"/>
                </w:tcPr>
                <w:p w14:paraId="6A6949D7">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硅Si</w:t>
                  </w:r>
                </w:p>
              </w:tc>
              <w:tc>
                <w:tcPr>
                  <w:tcW w:w="1080" w:type="dxa"/>
                  <w:vAlign w:val="center"/>
                </w:tcPr>
                <w:p w14:paraId="3B07A0B7">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锰Mn</w:t>
                  </w:r>
                </w:p>
              </w:tc>
              <w:tc>
                <w:tcPr>
                  <w:tcW w:w="1080" w:type="dxa"/>
                  <w:vAlign w:val="center"/>
                </w:tcPr>
                <w:p w14:paraId="13F4C17E">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磷P</w:t>
                  </w:r>
                </w:p>
              </w:tc>
              <w:tc>
                <w:tcPr>
                  <w:tcW w:w="1260" w:type="dxa"/>
                  <w:vAlign w:val="center"/>
                </w:tcPr>
                <w:p w14:paraId="5C15C9CE">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硫S</w:t>
                  </w:r>
                </w:p>
              </w:tc>
              <w:tc>
                <w:tcPr>
                  <w:tcW w:w="1458" w:type="dxa"/>
                  <w:vAlign w:val="center"/>
                </w:tcPr>
                <w:p w14:paraId="5194B97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镁Mg</w:t>
                  </w:r>
                </w:p>
              </w:tc>
            </w:tr>
            <w:tr w14:paraId="6D14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14:paraId="60E202B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p>
              </w:tc>
              <w:tc>
                <w:tcPr>
                  <w:tcW w:w="1080" w:type="dxa"/>
                  <w:vAlign w:val="center"/>
                </w:tcPr>
                <w:p w14:paraId="105FD2A9">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3.3~3.7</w:t>
                  </w:r>
                </w:p>
              </w:tc>
              <w:tc>
                <w:tcPr>
                  <w:tcW w:w="1260" w:type="dxa"/>
                  <w:vAlign w:val="center"/>
                </w:tcPr>
                <w:p w14:paraId="76CAAD16">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1.8~2.5</w:t>
                  </w:r>
                </w:p>
              </w:tc>
              <w:tc>
                <w:tcPr>
                  <w:tcW w:w="1080" w:type="dxa"/>
                  <w:vAlign w:val="center"/>
                </w:tcPr>
                <w:p w14:paraId="00362622">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≤0.4</w:t>
                  </w:r>
                </w:p>
              </w:tc>
              <w:tc>
                <w:tcPr>
                  <w:tcW w:w="1080" w:type="dxa"/>
                  <w:vAlign w:val="center"/>
                </w:tcPr>
                <w:p w14:paraId="45575D04">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≤0.07</w:t>
                  </w:r>
                </w:p>
              </w:tc>
              <w:tc>
                <w:tcPr>
                  <w:tcW w:w="1260" w:type="dxa"/>
                  <w:vAlign w:val="center"/>
                </w:tcPr>
                <w:p w14:paraId="2D59D70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≤0.02</w:t>
                  </w:r>
                </w:p>
              </w:tc>
              <w:tc>
                <w:tcPr>
                  <w:tcW w:w="1458" w:type="dxa"/>
                  <w:vAlign w:val="center"/>
                </w:tcPr>
                <w:p w14:paraId="4E3E5D4C">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≥0.05</w:t>
                  </w:r>
                </w:p>
              </w:tc>
            </w:tr>
          </w:tbl>
          <w:p w14:paraId="0380700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p>
          <w:p w14:paraId="0E31C634">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35" w:name="_Toc7085"/>
            <w:bookmarkStart w:id="36" w:name="_Toc6941"/>
            <w:bookmarkStart w:id="37" w:name="_Toc12831"/>
            <w:bookmarkStart w:id="38" w:name="_Toc27680"/>
            <w:bookmarkStart w:id="39" w:name="_Toc10793"/>
            <w:bookmarkStart w:id="40" w:name="_Toc18059"/>
            <w:r>
              <w:rPr>
                <w:rFonts w:hint="eastAsia" w:ascii="宋体" w:hAnsi="宋体" w:eastAsia="宋体" w:cs="宋体"/>
                <w:b/>
                <w:color w:val="auto"/>
                <w:sz w:val="20"/>
                <w:szCs w:val="20"/>
                <w:highlight w:val="none"/>
              </w:rPr>
              <w:t>密封要求</w:t>
            </w:r>
            <w:bookmarkEnd w:id="35"/>
            <w:bookmarkEnd w:id="36"/>
            <w:bookmarkEnd w:id="37"/>
            <w:bookmarkEnd w:id="38"/>
            <w:bookmarkEnd w:id="39"/>
            <w:bookmarkEnd w:id="40"/>
          </w:p>
          <w:p w14:paraId="0755884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1）、胶圈材质应符合GB/T21873、GB/T3672</w:t>
            </w:r>
          </w:p>
          <w:p w14:paraId="2DD60994">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2）、球墨铸铁管的密封性</w:t>
            </w:r>
          </w:p>
          <w:p w14:paraId="47166F9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球墨铸铁管都必须在涂敷前进行水压试验，试验过程中不得有渗漏冒汗或其他损坏。</w:t>
            </w:r>
          </w:p>
          <w:p w14:paraId="05048106">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球墨铸铁管最小试验压力应符合《水及燃气用球墨铸铁管、管件和附件》（GB/T13295）的规定。</w:t>
            </w:r>
          </w:p>
          <w:p w14:paraId="1251F1A4">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3）、柔性接口的密封性</w:t>
            </w:r>
          </w:p>
          <w:p w14:paraId="180E8EB0">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球墨铸铁管的所有柔性接口的设计、密封试验均应符合《水及燃气用球墨铸铁管、管件和附件》（GB/T13295）的规定。</w:t>
            </w:r>
          </w:p>
          <w:p w14:paraId="0AA809A2">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41" w:name="_Toc32372"/>
            <w:bookmarkStart w:id="42" w:name="_Toc20073"/>
            <w:bookmarkStart w:id="43" w:name="_Toc29750"/>
            <w:bookmarkStart w:id="44" w:name="_Toc31213"/>
            <w:bookmarkStart w:id="45" w:name="_Toc20355"/>
            <w:bookmarkStart w:id="46" w:name="_Toc16971"/>
            <w:r>
              <w:rPr>
                <w:rFonts w:hint="eastAsia" w:ascii="宋体" w:hAnsi="宋体" w:eastAsia="宋体" w:cs="宋体"/>
                <w:b/>
                <w:color w:val="auto"/>
                <w:sz w:val="20"/>
                <w:szCs w:val="20"/>
                <w:highlight w:val="none"/>
              </w:rPr>
              <w:t>管的外防腐涂层与内衬</w:t>
            </w:r>
            <w:bookmarkEnd w:id="41"/>
            <w:bookmarkEnd w:id="42"/>
            <w:bookmarkEnd w:id="43"/>
            <w:bookmarkEnd w:id="44"/>
            <w:bookmarkEnd w:id="45"/>
            <w:bookmarkEnd w:id="46"/>
          </w:p>
          <w:p w14:paraId="080FC768">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管通常以内、外涂覆的状态交货，内外防腐均由制管厂完成。涂覆前内外表面应无铁锈和杂物。涂覆后内外表面涂层应均匀，粘附牢固，不因气候变化而发生异常。内衬涂层应满足GB/T 17219的相关要求。</w:t>
            </w:r>
          </w:p>
          <w:p w14:paraId="7FDD1E6F">
            <w:pPr>
              <w:pStyle w:val="10"/>
              <w:pageBreakBefore w:val="0"/>
              <w:numPr>
                <w:ilvl w:val="0"/>
                <w:numId w:val="5"/>
              </w:numPr>
              <w:kinsoku/>
              <w:wordWrap w:val="0"/>
              <w:topLinePunct w:val="0"/>
              <w:autoSpaceDE w:val="0"/>
              <w:autoSpaceDN w:val="0"/>
              <w:bidi w:val="0"/>
              <w:spacing w:before="0" w:beforeAutospacing="0" w:after="0" w:afterAutospacing="0"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外防腐涂层</w:t>
            </w:r>
          </w:p>
          <w:p w14:paraId="2849B8C0">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离心球墨铸铁管、管件在出厂前应做好防腐处理，外防腐清洁、干燥管道表面后，用锌涂层涂覆，要求锌涂层质量宜达到 200g/m2，且不应小于 130g/m2，最后选用沥青涂料或与锌涂层相容的合成树脂涂料作为终饰涂层材料，其干膜的平均厚度应不小于70μm，且不大于 250μm，防腐的具体做法详见选用的产品说明书。</w:t>
            </w:r>
          </w:p>
          <w:p w14:paraId="3B5FCA60">
            <w:pPr>
              <w:pStyle w:val="10"/>
              <w:pageBreakBefore w:val="0"/>
              <w:numPr>
                <w:ilvl w:val="0"/>
                <w:numId w:val="5"/>
              </w:numPr>
              <w:kinsoku/>
              <w:wordWrap w:val="0"/>
              <w:topLinePunct w:val="0"/>
              <w:autoSpaceDE w:val="0"/>
              <w:autoSpaceDN w:val="0"/>
              <w:bidi w:val="0"/>
              <w:spacing w:before="0" w:beforeAutospacing="0" w:after="0" w:afterAutospacing="0"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管的内衬</w:t>
            </w:r>
          </w:p>
          <w:p w14:paraId="16AD44C1">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当在设计状态下使用时，不管是长期还是短期同人类饮用水相接触，球墨铸铁管、管件及其接口不应对预期使用的水质产生有害影响。球墨铸铁管线（包括管、管件和附件在内）由各种材料组成，输送饮用水时，与水接触的材料应满足GB/T 17219的相关要求。</w:t>
            </w:r>
          </w:p>
          <w:p w14:paraId="496AF6E9">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球墨铸铁管水泥砂浆内衬是覆盖整个直管内表面的一层致密、均匀的衬层。涂覆内衬之前，金属表面不应有松散杂质、油或润滑剂。内防腐涂抹完成后应光滑、无开裂脱落、无毛刺凸起，粗超度应≤0.012。</w:t>
            </w:r>
          </w:p>
          <w:p w14:paraId="29E5FF8F">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泥砂浆混合物应包括水泥、砂子、水。如使用添加剂，则应符合以上要求，并且应声明。水泥砂浆养生28天后抗压强度不少于50Mpa,内衬应符合以上要求。输送原水时可以使用铝酸盐水泥，应符合国家规范，或者用于特殊用途。</w:t>
            </w:r>
          </w:p>
          <w:p w14:paraId="58D2A929">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内衬防腐应在管道出厂前进行加工且符合《球墨铸铁管和管件水泥砂浆内衬》GB/T17457的要求。内壁应先去除衬底表面所有外来物、松散铁鳞或其他任何可能损害金属与内衬间良好结合的物质，再用混合均匀的水泥砂浆或环氧树脂涂覆</w:t>
            </w:r>
            <w:r>
              <w:rPr>
                <w:rFonts w:hint="eastAsia" w:ascii="宋体" w:hAnsi="宋体" w:eastAsia="宋体" w:cs="宋体"/>
                <w:color w:val="auto"/>
                <w:sz w:val="20"/>
                <w:szCs w:val="20"/>
                <w:highlight w:val="none"/>
                <w:lang w:eastAsia="zh-CN"/>
              </w:rPr>
              <w:t>。</w:t>
            </w:r>
          </w:p>
          <w:p w14:paraId="385B843A">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管道内壁使用新型粒化高炉矿粉水泥内衬或环氧树脂涂层内衬，并严格执行《水及燃气用球墨铸铁管、管件和附件》(GB/T13295)中的相关规定。</w:t>
            </w:r>
          </w:p>
          <w:p w14:paraId="4710CCD7">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47" w:name="_Toc16833"/>
            <w:bookmarkStart w:id="48" w:name="_Toc7452"/>
            <w:bookmarkStart w:id="49" w:name="_Toc15626"/>
            <w:bookmarkStart w:id="50" w:name="_Toc14743"/>
            <w:bookmarkStart w:id="51" w:name="_Toc17156"/>
            <w:bookmarkStart w:id="52" w:name="_Toc15173"/>
            <w:r>
              <w:rPr>
                <w:rFonts w:hint="eastAsia" w:ascii="宋体" w:hAnsi="宋体" w:eastAsia="宋体" w:cs="宋体"/>
                <w:b/>
                <w:color w:val="auto"/>
                <w:sz w:val="20"/>
                <w:szCs w:val="20"/>
                <w:highlight w:val="none"/>
              </w:rPr>
              <w:t>涂覆要求</w:t>
            </w:r>
            <w:bookmarkEnd w:id="47"/>
            <w:bookmarkEnd w:id="48"/>
            <w:bookmarkEnd w:id="49"/>
            <w:bookmarkEnd w:id="50"/>
            <w:bookmarkEnd w:id="51"/>
            <w:bookmarkEnd w:id="52"/>
          </w:p>
          <w:p w14:paraId="0184FC19">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球墨铸铁管内外都应有涂层。涂覆前内外表面应无铁锈和杂物。涂覆后内外表面应光洁，涂层均匀，粘附牢固，不因气候变化而发生异常。外涂层采用外表面喷涂金属锌，应符合ISO 8179-1的规定。球墨铸铁顶管在涂锌后，再做钢筋网为骨架的混凝土外保护套。球墨铸铁管表面在喷涂金属锌之后做高氯化聚乙烯为最终保护层，其平均厚度不小于70um，最小厚度不小于50um。内涂层采用普通硅酸盐水泥砂浆，应符合ISO 4179的规定，内衬水泥砂浆在养护28d后的抗压强度应不小于50MPa，水泥砂浆表面粗糙系数不大于0.012。内涂层不得含有任何能溶于水的成分，不得含有任何易析出气体及经冲洗后在水中仍留有气味的成分，不应含有任何有毒成分。 </w:t>
            </w:r>
          </w:p>
          <w:bookmarkEnd w:id="12"/>
          <w:bookmarkEnd w:id="13"/>
          <w:bookmarkEnd w:id="14"/>
          <w:p w14:paraId="622E589C">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53" w:name="_Toc20997"/>
            <w:bookmarkStart w:id="54" w:name="_Toc25102"/>
            <w:bookmarkStart w:id="55" w:name="_Toc11270"/>
            <w:bookmarkStart w:id="56" w:name="_Toc9298"/>
            <w:bookmarkStart w:id="57" w:name="_Toc3847"/>
            <w:bookmarkStart w:id="58" w:name="_Toc18098"/>
            <w:r>
              <w:rPr>
                <w:rFonts w:hint="eastAsia" w:ascii="宋体" w:hAnsi="宋体" w:eastAsia="宋体" w:cs="宋体"/>
                <w:b/>
                <w:color w:val="auto"/>
                <w:sz w:val="20"/>
                <w:szCs w:val="20"/>
                <w:highlight w:val="none"/>
              </w:rPr>
              <w:t>表面质量</w:t>
            </w:r>
            <w:bookmarkEnd w:id="53"/>
            <w:bookmarkEnd w:id="54"/>
            <w:bookmarkEnd w:id="55"/>
            <w:bookmarkEnd w:id="56"/>
            <w:bookmarkEnd w:id="57"/>
            <w:bookmarkEnd w:id="58"/>
          </w:p>
          <w:p w14:paraId="528436F3">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（1）球墨铸铁管的尺寸公差应符合现行国家产品标准的规定。</w:t>
            </w:r>
          </w:p>
          <w:p w14:paraId="662120AB">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（2）直管不得有违背《水及燃气用球墨铸铁管、管件和附件》（GB/T13295）条款4和5的缺陷。对于不影响整体壁厚的表面缺陷和局部损伤，必要时可进行修复，例如焊补，修补后的直管也应符合标准4和5的要求。</w:t>
            </w:r>
          </w:p>
          <w:p w14:paraId="76893746">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（3）带内衬的内表面上的任何凸起高度不应超出内衬厚度的1/2。</w:t>
            </w:r>
          </w:p>
          <w:p w14:paraId="3B88CEAE">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 管的外表面的局部凹陷铸造缺陷深度以及毛刺、飞边清除后造成的壁厚减薄不得超过壁厚的允许偏差，超过时应进行修补。</w:t>
            </w:r>
          </w:p>
          <w:p w14:paraId="23F04F35">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（5）管表面不应有重皮。</w:t>
            </w:r>
          </w:p>
          <w:p w14:paraId="0C15FD9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（6）密封面以外的表面不影响使用的局部凸起应予验收。</w:t>
            </w:r>
          </w:p>
          <w:p w14:paraId="3D9E138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（7）管表面不得有裂纹，不得有妨碍使用的凹凸不平的缺陷。</w:t>
            </w:r>
          </w:p>
          <w:p w14:paraId="6E2EB854">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59" w:name="_Toc22800"/>
            <w:bookmarkStart w:id="60" w:name="_Toc23010"/>
            <w:bookmarkStart w:id="61" w:name="_Toc27953"/>
            <w:bookmarkStart w:id="62" w:name="_Toc18176"/>
            <w:bookmarkStart w:id="63" w:name="_Toc25725"/>
            <w:bookmarkStart w:id="64" w:name="_Toc17775"/>
            <w:r>
              <w:rPr>
                <w:rFonts w:hint="eastAsia" w:ascii="宋体" w:hAnsi="宋体" w:eastAsia="宋体" w:cs="宋体"/>
                <w:b/>
                <w:color w:val="auto"/>
                <w:sz w:val="20"/>
                <w:szCs w:val="20"/>
                <w:highlight w:val="none"/>
              </w:rPr>
              <w:t>密封橡胶圈</w:t>
            </w:r>
            <w:bookmarkEnd w:id="59"/>
            <w:bookmarkEnd w:id="60"/>
            <w:bookmarkEnd w:id="61"/>
            <w:bookmarkEnd w:id="62"/>
            <w:bookmarkEnd w:id="63"/>
            <w:bookmarkEnd w:id="64"/>
          </w:p>
          <w:p w14:paraId="2864C59C">
            <w:pPr>
              <w:pageBreakBefore w:val="0"/>
              <w:kinsoku/>
              <w:wordWrap w:val="0"/>
              <w:topLinePunct w:val="0"/>
              <w:bidi w:val="0"/>
              <w:spacing w:line="400" w:lineRule="exact"/>
              <w:ind w:firstLine="400" w:firstLineChars="200"/>
              <w:rPr>
                <w:rFonts w:hint="eastAsia"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橡胶圈的尺寸、外形及技术要求应符合《水及燃气用球墨铸铁管、管件和附件》（GB/T13295）规定。接口所用的橡胶圈不应有气孔、裂缝和重皮，其性能应符合邵氏硬度为45-55度、伸长率≥500%、拉断强度≥16Mpa、永久变形＜20%、老化系数＞0.8、70℃×144小时。</w:t>
            </w:r>
            <w:r>
              <w:rPr>
                <w:rFonts w:hint="eastAsia" w:ascii="宋体" w:hAnsi="宋体" w:eastAsia="宋体" w:cs="宋体"/>
                <w:b/>
                <w:bCs/>
                <w:color w:val="auto"/>
                <w:sz w:val="20"/>
                <w:szCs w:val="20"/>
                <w:highlight w:val="none"/>
              </w:rPr>
              <w:t>胶圈的配套率为105％。</w:t>
            </w:r>
          </w:p>
          <w:p w14:paraId="4E4B903B">
            <w:pPr>
              <w:pStyle w:val="3"/>
              <w:pageBreakBefore w:val="0"/>
              <w:widowControl w:val="0"/>
              <w:numPr>
                <w:ilvl w:val="0"/>
                <w:numId w:val="6"/>
              </w:numPr>
              <w:tabs>
                <w:tab w:val="left" w:pos="432"/>
              </w:tabs>
              <w:kinsoku/>
              <w:wordWrap w:val="0"/>
              <w:overflowPunct/>
              <w:topLinePunct w:val="0"/>
              <w:autoSpaceDE/>
              <w:autoSpaceDN/>
              <w:bidi w:val="0"/>
              <w:adjustRightInd/>
              <w:snapToGrid/>
              <w:spacing w:before="0" w:beforeLines="0" w:after="0" w:afterLines="0" w:line="400" w:lineRule="exact"/>
              <w:ind w:left="422" w:leftChars="200" w:hanging="2" w:hangingChars="1"/>
              <w:rPr>
                <w:rFonts w:hint="eastAsia" w:ascii="宋体" w:hAnsi="宋体" w:eastAsia="宋体" w:cs="宋体"/>
                <w:bCs/>
                <w:color w:val="000000" w:themeColor="text1"/>
                <w:sz w:val="20"/>
                <w:szCs w:val="20"/>
                <w:highlight w:val="none"/>
                <w14:textFill>
                  <w14:solidFill>
                    <w14:schemeClr w14:val="tx1"/>
                  </w14:solidFill>
                </w14:textFill>
              </w:rPr>
            </w:pPr>
            <w:bookmarkStart w:id="65" w:name="_Toc14177"/>
            <w:bookmarkStart w:id="66" w:name="_Toc1101"/>
            <w:bookmarkStart w:id="67" w:name="_Toc11208"/>
            <w:bookmarkStart w:id="68" w:name="_Toc12975"/>
            <w:bookmarkStart w:id="69" w:name="_Toc22151"/>
            <w:r>
              <w:rPr>
                <w:rFonts w:hint="eastAsia" w:ascii="宋体" w:hAnsi="宋体" w:eastAsia="宋体" w:cs="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0"/>
                <w:szCs w:val="20"/>
                <w:highlight w:val="none"/>
                <w:lang w:eastAsia="zh-CN"/>
                <w14:textFill>
                  <w14:solidFill>
                    <w14:schemeClr w14:val="tx1"/>
                  </w14:solidFill>
                </w14:textFill>
              </w:rPr>
              <w:t>螺旋</w:t>
            </w:r>
            <w:r>
              <w:rPr>
                <w:rFonts w:hint="eastAsia" w:ascii="宋体" w:hAnsi="宋体" w:eastAsia="宋体" w:cs="宋体"/>
                <w:bCs/>
                <w:color w:val="000000" w:themeColor="text1"/>
                <w:sz w:val="20"/>
                <w:szCs w:val="20"/>
                <w:highlight w:val="none"/>
                <w14:textFill>
                  <w14:solidFill>
                    <w14:schemeClr w14:val="tx1"/>
                  </w14:solidFill>
                </w14:textFill>
              </w:rPr>
              <w:t>钢管</w:t>
            </w:r>
            <w:bookmarkEnd w:id="65"/>
            <w:bookmarkEnd w:id="66"/>
            <w:bookmarkEnd w:id="67"/>
            <w:bookmarkEnd w:id="68"/>
            <w:bookmarkEnd w:id="69"/>
          </w:p>
          <w:p w14:paraId="6B937F18">
            <w:pPr>
              <w:numPr>
                <w:ilvl w:val="-1"/>
                <w:numId w:val="0"/>
              </w:numPr>
              <w:spacing w:line="360" w:lineRule="exact"/>
              <w:ind w:left="0" w:leftChars="0" w:firstLine="0" w:firstLineChars="0"/>
              <w:outlineLvl w:val="1"/>
              <w:rPr>
                <w:rFonts w:hint="eastAsia" w:ascii="宋体" w:hAnsi="宋体" w:eastAsia="宋体" w:cs="宋体"/>
                <w:color w:val="auto"/>
                <w:sz w:val="20"/>
                <w:szCs w:val="20"/>
                <w:highlight w:val="none"/>
              </w:rPr>
            </w:pPr>
            <w:bookmarkStart w:id="70" w:name="_Toc14103"/>
            <w:bookmarkStart w:id="71" w:name="_Toc27478"/>
            <w:r>
              <w:rPr>
                <w:rFonts w:hint="eastAsia" w:ascii="宋体" w:hAnsi="宋体" w:eastAsia="宋体" w:cs="宋体"/>
                <w:color w:val="auto"/>
                <w:sz w:val="20"/>
                <w:szCs w:val="20"/>
                <w:highlight w:val="none"/>
                <w:lang w:val="en-US" w:eastAsia="zh-CN"/>
              </w:rPr>
              <w:t>2.1</w:t>
            </w:r>
            <w:r>
              <w:rPr>
                <w:rFonts w:hint="eastAsia" w:ascii="宋体" w:hAnsi="宋体" w:eastAsia="宋体" w:cs="宋体"/>
                <w:color w:val="auto"/>
                <w:sz w:val="20"/>
                <w:szCs w:val="20"/>
                <w:highlight w:val="none"/>
              </w:rPr>
              <w:t>标准和规范</w:t>
            </w:r>
            <w:bookmarkEnd w:id="70"/>
            <w:bookmarkEnd w:id="71"/>
          </w:p>
          <w:p w14:paraId="2C160487">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钢管的制造、试验应等效或高于如下相关标准：</w:t>
            </w:r>
          </w:p>
          <w:p w14:paraId="4D8BDCB7">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SY/T</w:t>
            </w:r>
            <w:r>
              <w:rPr>
                <w:rFonts w:hint="eastAsia" w:ascii="宋体" w:hAnsi="宋体" w:eastAsia="宋体" w:cs="宋体"/>
                <w:color w:val="auto"/>
                <w:sz w:val="20"/>
                <w:szCs w:val="20"/>
                <w:highlight w:val="none"/>
                <w:lang w:eastAsia="zh-CN"/>
              </w:rPr>
              <w:t xml:space="preserve"> </w:t>
            </w:r>
            <w:r>
              <w:rPr>
                <w:rFonts w:hint="eastAsia" w:ascii="宋体" w:hAnsi="宋体" w:eastAsia="宋体" w:cs="宋体"/>
                <w:color w:val="auto"/>
                <w:sz w:val="20"/>
                <w:szCs w:val="20"/>
                <w:highlight w:val="none"/>
              </w:rPr>
              <w:t>5037   《普通流体输送管道用螺旋缝埋弧焊钢管》</w:t>
            </w:r>
          </w:p>
          <w:p w14:paraId="2D449842">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GB/T</w:t>
            </w:r>
            <w:r>
              <w:rPr>
                <w:rFonts w:hint="eastAsia" w:ascii="宋体" w:hAnsi="宋体" w:eastAsia="宋体" w:cs="宋体"/>
                <w:color w:val="auto"/>
                <w:sz w:val="20"/>
                <w:szCs w:val="20"/>
                <w:highlight w:val="none"/>
                <w:lang w:eastAsia="zh-CN"/>
              </w:rPr>
              <w:t xml:space="preserve"> </w:t>
            </w:r>
            <w:r>
              <w:rPr>
                <w:rFonts w:hint="eastAsia" w:ascii="宋体" w:hAnsi="宋体" w:eastAsia="宋体" w:cs="宋体"/>
                <w:color w:val="auto"/>
                <w:sz w:val="20"/>
                <w:szCs w:val="20"/>
                <w:highlight w:val="none"/>
              </w:rPr>
              <w:t>700    《碳素结构钢》</w:t>
            </w:r>
          </w:p>
          <w:p w14:paraId="4ED12074">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GB/T 986   《埋弧焊焊缝坡口的基本形式和尺寸》</w:t>
            </w:r>
          </w:p>
          <w:p w14:paraId="43432612">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GB/T 17219 《生活饮用水输配水设备及防护材料的安全性评价标准》</w:t>
            </w:r>
          </w:p>
          <w:p w14:paraId="320A3489">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GB/T 3091  《低压流体输送用焊接钢管》</w:t>
            </w:r>
          </w:p>
          <w:p w14:paraId="42B9255E">
            <w:pPr>
              <w:numPr>
                <w:ilvl w:val="-1"/>
                <w:numId w:val="0"/>
              </w:numPr>
              <w:spacing w:line="360" w:lineRule="exact"/>
              <w:ind w:left="0" w:leftChars="0" w:firstLine="0" w:firstLineChars="0"/>
              <w:outlineLvl w:val="1"/>
              <w:rPr>
                <w:rFonts w:hint="eastAsia" w:ascii="宋体" w:hAnsi="宋体" w:eastAsia="宋体" w:cs="宋体"/>
                <w:color w:val="auto"/>
                <w:sz w:val="20"/>
                <w:szCs w:val="20"/>
                <w:highlight w:val="none"/>
              </w:rPr>
            </w:pPr>
            <w:bookmarkStart w:id="72" w:name="_Toc30958"/>
            <w:bookmarkStart w:id="73" w:name="_Toc5222"/>
            <w:r>
              <w:rPr>
                <w:rFonts w:hint="eastAsia" w:ascii="宋体" w:hAnsi="宋体" w:eastAsia="宋体" w:cs="宋体"/>
                <w:color w:val="auto"/>
                <w:sz w:val="20"/>
                <w:szCs w:val="20"/>
                <w:highlight w:val="none"/>
                <w:lang w:val="en-US" w:eastAsia="zh-CN"/>
              </w:rPr>
              <w:t>2.2</w:t>
            </w:r>
            <w:r>
              <w:rPr>
                <w:rFonts w:hint="eastAsia" w:ascii="宋体" w:hAnsi="宋体" w:eastAsia="宋体" w:cs="宋体"/>
                <w:color w:val="auto"/>
                <w:sz w:val="20"/>
                <w:szCs w:val="20"/>
                <w:highlight w:val="none"/>
              </w:rPr>
              <w:t>成品钢管主要技术要求</w:t>
            </w:r>
            <w:bookmarkEnd w:id="72"/>
            <w:bookmarkEnd w:id="73"/>
          </w:p>
          <w:p w14:paraId="768FEF4D">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钢管几何尺寸允许偏差应符合表1、表2的规定：</w:t>
            </w:r>
          </w:p>
          <w:p w14:paraId="0183966E">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表1 螺旋钢管外径偏差                   单位：mm</w:t>
            </w:r>
          </w:p>
          <w:tbl>
            <w:tblPr>
              <w:tblStyle w:val="11"/>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1367"/>
              <w:gridCol w:w="5761"/>
            </w:tblGrid>
            <w:tr w14:paraId="1B8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Merge w:val="restart"/>
                  <w:vAlign w:val="top"/>
                </w:tcPr>
                <w:p w14:paraId="4E0BA50D">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公称外径D</w:t>
                  </w:r>
                </w:p>
              </w:tc>
              <w:tc>
                <w:tcPr>
                  <w:tcW w:w="7128" w:type="dxa"/>
                  <w:gridSpan w:val="2"/>
                  <w:vAlign w:val="top"/>
                </w:tcPr>
                <w:p w14:paraId="344B6C61">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允许偏差</w:t>
                  </w:r>
                </w:p>
              </w:tc>
            </w:tr>
            <w:tr w14:paraId="46E3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Merge w:val="continue"/>
                  <w:vAlign w:val="top"/>
                </w:tcPr>
                <w:p w14:paraId="3D43F24E">
                  <w:pPr>
                    <w:tabs>
                      <w:tab w:val="left" w:pos="1560"/>
                    </w:tabs>
                    <w:spacing w:line="360" w:lineRule="exact"/>
                    <w:jc w:val="center"/>
                    <w:textAlignment w:val="baseline"/>
                    <w:rPr>
                      <w:rFonts w:hint="eastAsia" w:ascii="宋体" w:hAnsi="宋体" w:eastAsia="宋体" w:cs="宋体"/>
                      <w:color w:val="auto"/>
                      <w:sz w:val="20"/>
                      <w:szCs w:val="20"/>
                      <w:highlight w:val="none"/>
                    </w:rPr>
                  </w:pPr>
                </w:p>
              </w:tc>
              <w:tc>
                <w:tcPr>
                  <w:tcW w:w="1367" w:type="dxa"/>
                  <w:vAlign w:val="top"/>
                </w:tcPr>
                <w:p w14:paraId="2938043A">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管体</w:t>
                  </w:r>
                </w:p>
              </w:tc>
              <w:tc>
                <w:tcPr>
                  <w:tcW w:w="5761" w:type="dxa"/>
                  <w:vAlign w:val="top"/>
                </w:tcPr>
                <w:p w14:paraId="4A24B18E">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管端</w:t>
                  </w:r>
                </w:p>
              </w:tc>
            </w:tr>
            <w:tr w14:paraId="3ABC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Align w:val="top"/>
                </w:tcPr>
                <w:p w14:paraId="72A89FC5">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219.1＜D≤610</w:t>
                  </w:r>
                </w:p>
              </w:tc>
              <w:tc>
                <w:tcPr>
                  <w:tcW w:w="1367" w:type="dxa"/>
                  <w:vAlign w:val="top"/>
                </w:tcPr>
                <w:p w14:paraId="2B64BF9C">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±1.0%D</w:t>
                  </w:r>
                </w:p>
              </w:tc>
              <w:tc>
                <w:tcPr>
                  <w:tcW w:w="5761" w:type="dxa"/>
                  <w:vAlign w:val="top"/>
                </w:tcPr>
                <w:p w14:paraId="1772447A">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±0.75%D或±2.5，取最小值</w:t>
                  </w:r>
                </w:p>
              </w:tc>
            </w:tr>
            <w:tr w14:paraId="2B10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Align w:val="top"/>
                </w:tcPr>
                <w:p w14:paraId="0EE7AB1F">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610＜D≤1422</w:t>
                  </w:r>
                </w:p>
              </w:tc>
              <w:tc>
                <w:tcPr>
                  <w:tcW w:w="1367" w:type="dxa"/>
                  <w:vAlign w:val="top"/>
                </w:tcPr>
                <w:p w14:paraId="5C12B99D">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±0.75%D</w:t>
                  </w:r>
                </w:p>
              </w:tc>
              <w:tc>
                <w:tcPr>
                  <w:tcW w:w="5761" w:type="dxa"/>
                  <w:vAlign w:val="top"/>
                </w:tcPr>
                <w:p w14:paraId="4F8D27B6">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±0.50%D或±3.5，取小值</w:t>
                  </w:r>
                </w:p>
              </w:tc>
            </w:tr>
            <w:tr w14:paraId="5E1C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Align w:val="top"/>
                </w:tcPr>
                <w:p w14:paraId="4B1DF1F8">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D＞1422</w:t>
                  </w:r>
                </w:p>
              </w:tc>
              <w:tc>
                <w:tcPr>
                  <w:tcW w:w="7128" w:type="dxa"/>
                  <w:gridSpan w:val="2"/>
                  <w:vAlign w:val="top"/>
                </w:tcPr>
                <w:p w14:paraId="6EC69CF4">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依照协议</w:t>
                  </w:r>
                </w:p>
              </w:tc>
            </w:tr>
            <w:tr w14:paraId="1B15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239" w:type="dxa"/>
                  <w:gridSpan w:val="3"/>
                  <w:vAlign w:val="top"/>
                </w:tcPr>
                <w:p w14:paraId="05BA7AFB">
                  <w:pPr>
                    <w:tabs>
                      <w:tab w:val="left" w:pos="1560"/>
                    </w:tabs>
                    <w:spacing w:line="360" w:lineRule="exact"/>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钢管外径偏差换算为周长后，可修约到最邻近的1mm。</w:t>
                  </w:r>
                </w:p>
                <w:p w14:paraId="72D1C0CC">
                  <w:pPr>
                    <w:tabs>
                      <w:tab w:val="left" w:pos="1560"/>
                    </w:tabs>
                    <w:spacing w:line="360" w:lineRule="exact"/>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管端为距钢管端部100mm范围内的钢管。</w:t>
                  </w:r>
                </w:p>
              </w:tc>
            </w:tr>
          </w:tbl>
          <w:p w14:paraId="3D93A551">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6C218900">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表2 钢管壁厚偏差                   单位：mm</w:t>
            </w:r>
          </w:p>
          <w:tbl>
            <w:tblPr>
              <w:tblStyle w:val="11"/>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304"/>
              <w:gridCol w:w="2304"/>
              <w:gridCol w:w="2305"/>
            </w:tblGrid>
            <w:tr w14:paraId="3D1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4" w:type="dxa"/>
                  <w:vAlign w:val="top"/>
                </w:tcPr>
                <w:p w14:paraId="23891A6B">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公称壁厚t</w:t>
                  </w:r>
                </w:p>
              </w:tc>
              <w:tc>
                <w:tcPr>
                  <w:tcW w:w="2304" w:type="dxa"/>
                  <w:vAlign w:val="top"/>
                </w:tcPr>
                <w:p w14:paraId="364E3863">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t≤5.0</w:t>
                  </w:r>
                </w:p>
              </w:tc>
              <w:tc>
                <w:tcPr>
                  <w:tcW w:w="2304" w:type="dxa"/>
                  <w:vAlign w:val="top"/>
                </w:tcPr>
                <w:p w14:paraId="0B4259B0">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5.0＜t≤15.0</w:t>
                  </w:r>
                </w:p>
              </w:tc>
              <w:tc>
                <w:tcPr>
                  <w:tcW w:w="2305" w:type="dxa"/>
                  <w:vAlign w:val="top"/>
                </w:tcPr>
                <w:p w14:paraId="79C8F288">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t＞15.0</w:t>
                  </w:r>
                </w:p>
              </w:tc>
            </w:tr>
            <w:tr w14:paraId="09E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4" w:type="dxa"/>
                  <w:vAlign w:val="top"/>
                </w:tcPr>
                <w:p w14:paraId="4C869D6A">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偏差</w:t>
                  </w:r>
                </w:p>
              </w:tc>
              <w:tc>
                <w:tcPr>
                  <w:tcW w:w="2304" w:type="dxa"/>
                  <w:vAlign w:val="top"/>
                </w:tcPr>
                <w:p w14:paraId="7592F170">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2304" w:type="dxa"/>
                  <w:vAlign w:val="top"/>
                </w:tcPr>
                <w:p w14:paraId="0671268D">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.0%t</w:t>
                  </w:r>
                </w:p>
              </w:tc>
              <w:tc>
                <w:tcPr>
                  <w:tcW w:w="2305" w:type="dxa"/>
                  <w:vAlign w:val="top"/>
                </w:tcPr>
                <w:p w14:paraId="21B08515">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p>
              </w:tc>
            </w:tr>
          </w:tbl>
          <w:p w14:paraId="3946C5A7">
            <w:pPr>
              <w:spacing w:line="360" w:lineRule="exact"/>
              <w:rPr>
                <w:rFonts w:hint="eastAsia" w:ascii="宋体" w:hAnsi="宋体" w:eastAsia="宋体" w:cs="宋体"/>
                <w:color w:val="auto"/>
                <w:sz w:val="20"/>
                <w:szCs w:val="20"/>
                <w:highlight w:val="none"/>
              </w:rPr>
            </w:pPr>
          </w:p>
          <w:p w14:paraId="2F6ABD7A">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钢管定尺长度为12m，按理论重量交货，重量抽查率为10%，抽查试样的重量允许偏差-3%～+5%。</w:t>
            </w:r>
          </w:p>
          <w:p w14:paraId="507505A9">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钢管的圆度、直度要符合SY/T5037《普通流体输送管道用螺旋缝埋弧焊钢管》的规定。</w:t>
            </w:r>
          </w:p>
          <w:p w14:paraId="32DB17F5">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钢管采用双面埋弧自动焊焊制，钢管的技术要求要符合SY/T5037《普通流体输送管道用螺旋缝埋弧焊钢管》的规定。</w:t>
            </w:r>
          </w:p>
          <w:p w14:paraId="4993303D">
            <w:pPr>
              <w:numPr>
                <w:ilvl w:val="-1"/>
                <w:numId w:val="0"/>
              </w:numPr>
              <w:spacing w:line="360" w:lineRule="exact"/>
              <w:ind w:left="0" w:leftChars="0" w:firstLine="0" w:firstLineChars="0"/>
              <w:outlineLvl w:val="1"/>
              <w:rPr>
                <w:rFonts w:hint="eastAsia" w:ascii="宋体" w:hAnsi="宋体" w:eastAsia="宋体" w:cs="宋体"/>
                <w:color w:val="auto"/>
                <w:sz w:val="20"/>
                <w:szCs w:val="20"/>
                <w:highlight w:val="none"/>
              </w:rPr>
            </w:pPr>
            <w:bookmarkStart w:id="74" w:name="_Toc304"/>
            <w:bookmarkStart w:id="75" w:name="_Toc24512"/>
            <w:r>
              <w:rPr>
                <w:rFonts w:hint="eastAsia" w:ascii="宋体" w:hAnsi="宋体" w:eastAsia="宋体" w:cs="宋体"/>
                <w:color w:val="auto"/>
                <w:sz w:val="20"/>
                <w:szCs w:val="20"/>
                <w:highlight w:val="none"/>
                <w:lang w:val="en-US" w:eastAsia="zh-CN"/>
              </w:rPr>
              <w:t>2.3</w:t>
            </w:r>
            <w:r>
              <w:rPr>
                <w:rFonts w:hint="eastAsia" w:ascii="宋体" w:hAnsi="宋体" w:eastAsia="宋体" w:cs="宋体"/>
                <w:color w:val="auto"/>
                <w:sz w:val="20"/>
                <w:szCs w:val="20"/>
                <w:highlight w:val="none"/>
              </w:rPr>
              <w:t>钢管外观质量要求</w:t>
            </w:r>
            <w:bookmarkEnd w:id="74"/>
            <w:bookmarkEnd w:id="75"/>
          </w:p>
          <w:p w14:paraId="4DC5B882">
            <w:pPr>
              <w:numPr>
                <w:ilvl w:val="0"/>
                <w:numId w:val="7"/>
              </w:numPr>
              <w:spacing w:line="360" w:lineRule="exact"/>
              <w:ind w:left="0" w:leftChars="0" w:firstLine="0" w:firstLineChars="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钢管表面质量</w:t>
            </w:r>
            <w:r>
              <w:rPr>
                <w:rFonts w:hint="eastAsia" w:ascii="宋体" w:hAnsi="宋体" w:eastAsia="宋体" w:cs="宋体"/>
                <w:color w:val="auto"/>
                <w:sz w:val="20"/>
                <w:szCs w:val="20"/>
                <w:highlight w:val="none"/>
                <w:lang w:eastAsia="zh-CN"/>
              </w:rPr>
              <w:t>：</w:t>
            </w:r>
          </w:p>
          <w:p w14:paraId="1A645CD0">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钢管表面不得有裂缝、结疤、折叠以及其他深度超过标称壁厚下偏差的缺陷。</w:t>
            </w:r>
          </w:p>
          <w:p w14:paraId="40C79BC0">
            <w:pPr>
              <w:numPr>
                <w:ilvl w:val="0"/>
                <w:numId w:val="7"/>
              </w:numPr>
              <w:spacing w:line="360" w:lineRule="exact"/>
              <w:ind w:left="0" w:leftChars="0" w:firstLine="0" w:firstLineChars="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分层和夹杂</w:t>
            </w:r>
            <w:r>
              <w:rPr>
                <w:rFonts w:hint="eastAsia" w:ascii="宋体" w:hAnsi="宋体" w:eastAsia="宋体" w:cs="宋体"/>
                <w:color w:val="auto"/>
                <w:sz w:val="20"/>
                <w:szCs w:val="20"/>
                <w:highlight w:val="none"/>
                <w:lang w:eastAsia="zh-CN"/>
              </w:rPr>
              <w:t>：</w:t>
            </w:r>
          </w:p>
          <w:p w14:paraId="3266DD1A">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钢管上不允许有扩展到管端面或坡口面上且横向尺寸超过6.4mm的分层和夹杂。</w:t>
            </w:r>
          </w:p>
          <w:p w14:paraId="142CC30D">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2.3.3 摔坑</w:t>
            </w:r>
          </w:p>
          <w:p w14:paraId="284079FE">
            <w:pPr>
              <w:spacing w:line="360" w:lineRule="exact"/>
              <w:ind w:firstLine="42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管壁上不得有深度超过6.4mm的摔坑。摔坑深度是指凹陷处最低点与钢管原始轮廓延伸部分之间的距离。摔坑长度在任何方向上不得超过0.5D；凹陷部分带有尖锐划伤时，凹陷深度不得超过3.2mm；带有尖锐划伤的凹坑，应将尖锐划伤磨去，但磨后的凹坑深度和长度应符合上述规定。</w:t>
            </w:r>
          </w:p>
          <w:p w14:paraId="33ED8E7B">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2.3.4钢管焊缝的余高应符合表3的规定：</w:t>
            </w:r>
          </w:p>
          <w:p w14:paraId="637BF4F0">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表3  焊缝余高                                       单位：mm</w:t>
            </w:r>
          </w:p>
          <w:tbl>
            <w:tblPr>
              <w:tblStyle w:val="11"/>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6"/>
              <w:gridCol w:w="3902"/>
            </w:tblGrid>
            <w:tr w14:paraId="6CD8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36" w:type="dxa"/>
                  <w:vAlign w:val="top"/>
                </w:tcPr>
                <w:p w14:paraId="6A9ECDE7">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钢管标称壁厚T</w:t>
                  </w:r>
                </w:p>
              </w:tc>
              <w:tc>
                <w:tcPr>
                  <w:tcW w:w="3902" w:type="dxa"/>
                  <w:vAlign w:val="top"/>
                </w:tcPr>
                <w:p w14:paraId="04B9CC6C">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焊缝余高h</w:t>
                  </w:r>
                </w:p>
              </w:tc>
            </w:tr>
            <w:tr w14:paraId="51CF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36" w:type="dxa"/>
                  <w:vAlign w:val="top"/>
                </w:tcPr>
                <w:p w14:paraId="7392BAF0">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≤13.0</w:t>
                  </w:r>
                </w:p>
              </w:tc>
              <w:tc>
                <w:tcPr>
                  <w:tcW w:w="3902" w:type="dxa"/>
                  <w:vAlign w:val="top"/>
                </w:tcPr>
                <w:p w14:paraId="4E56EB12">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≤3.5</w:t>
                  </w:r>
                </w:p>
              </w:tc>
            </w:tr>
            <w:tr w14:paraId="606A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36" w:type="dxa"/>
                  <w:vAlign w:val="top"/>
                </w:tcPr>
                <w:p w14:paraId="20BB49FB">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＞13.0</w:t>
                  </w:r>
                </w:p>
              </w:tc>
              <w:tc>
                <w:tcPr>
                  <w:tcW w:w="3902" w:type="dxa"/>
                  <w:vAlign w:val="top"/>
                </w:tcPr>
                <w:p w14:paraId="3F33CF76">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≤4.0</w:t>
                  </w:r>
                </w:p>
              </w:tc>
            </w:tr>
          </w:tbl>
          <w:p w14:paraId="05B3A918">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2.3.</w:t>
            </w:r>
            <w:r>
              <w:rPr>
                <w:rFonts w:hint="eastAsia" w:ascii="宋体" w:hAnsi="宋体" w:eastAsia="宋体" w:cs="宋体"/>
                <w:color w:val="auto"/>
                <w:sz w:val="20"/>
                <w:szCs w:val="20"/>
                <w:highlight w:val="none"/>
                <w:lang w:eastAsia="zh-CN"/>
              </w:rPr>
              <w:t>5</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钢管防腐</w:t>
            </w:r>
          </w:p>
          <w:p w14:paraId="3E0859A7">
            <w:pPr>
              <w:numPr>
                <w:ilvl w:val="0"/>
                <w:numId w:val="8"/>
              </w:num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钢管表面处理</w:t>
            </w:r>
          </w:p>
          <w:p w14:paraId="3F88BEBC">
            <w:pPr>
              <w:pStyle w:val="2"/>
              <w:numPr>
                <w:ilvl w:val="0"/>
                <w:numId w:val="0"/>
              </w:num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r>
              <w:rPr>
                <w:rFonts w:hint="eastAsia" w:ascii="宋体" w:hAnsi="宋体" w:eastAsia="宋体" w:cs="宋体"/>
                <w:b w:val="0"/>
                <w:color w:val="auto"/>
                <w:spacing w:val="0"/>
                <w:sz w:val="20"/>
                <w:szCs w:val="20"/>
                <w:highlight w:val="none"/>
                <w:lang w:val="en-US" w:eastAsia="zh-CN" w:bidi="ar-SA"/>
              </w:rPr>
              <w:t>管以内、外涂覆的状态交货，内外防腐均由制管厂完成。</w:t>
            </w:r>
          </w:p>
          <w:p w14:paraId="20A181A0">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采用各种防腐涂料防腐层时，内外壁表面处理应达到《涂覆涂料前钢材表面处理，表面清洁度的目视评定》(GB/T8923)中规定的Sa2.5级；也可采用手工机械除锈，应达到St3级标准。其它表面处理措施应按照《工业金属管道工程施工规范》(GB50235)等规范及标准执行。</w:t>
            </w:r>
          </w:p>
          <w:p w14:paraId="725EEC01">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B、钢管外防腐</w:t>
            </w:r>
          </w:p>
          <w:p w14:paraId="14429CF4">
            <w:pPr>
              <w:pStyle w:val="2"/>
              <w:numPr>
                <w:ilvl w:val="0"/>
                <w:numId w:val="0"/>
              </w:numPr>
              <w:rPr>
                <w:rFonts w:hint="eastAsia" w:ascii="宋体" w:hAnsi="宋体" w:eastAsia="宋体" w:cs="宋体"/>
                <w:b w:val="0"/>
                <w:color w:val="auto"/>
                <w:spacing w:val="0"/>
                <w:sz w:val="20"/>
                <w:szCs w:val="20"/>
                <w:highlight w:val="none"/>
                <w:lang w:val="en-US" w:eastAsia="zh-CN" w:bidi="ar-SA"/>
              </w:rPr>
            </w:pPr>
            <w:r>
              <w:rPr>
                <w:rFonts w:hint="eastAsia" w:ascii="宋体" w:hAnsi="宋体" w:eastAsia="宋体" w:cs="宋体"/>
                <w:color w:val="auto"/>
                <w:sz w:val="20"/>
                <w:szCs w:val="20"/>
                <w:highlight w:val="none"/>
                <w:lang w:eastAsia="zh-CN"/>
              </w:rPr>
              <w:t xml:space="preserve">   </w:t>
            </w:r>
            <w:r>
              <w:rPr>
                <w:rFonts w:hint="eastAsia" w:ascii="宋体" w:hAnsi="宋体" w:eastAsia="宋体" w:cs="宋体"/>
                <w:b w:val="0"/>
                <w:color w:val="auto"/>
                <w:spacing w:val="0"/>
                <w:sz w:val="20"/>
                <w:szCs w:val="20"/>
                <w:highlight w:val="none"/>
                <w:lang w:val="en-US" w:eastAsia="zh-CN" w:bidi="ar-SA"/>
              </w:rPr>
              <w:t xml:space="preserve"> (1)管桥段外防腐采用双层熔结环氧粉末加强级防腐，涂层厚度不得低于600 μm。双层环氧粉</w:t>
            </w:r>
          </w:p>
          <w:p w14:paraId="5A1534C5">
            <w:pPr>
              <w:pStyle w:val="2"/>
              <w:numPr>
                <w:ilvl w:val="0"/>
                <w:numId w:val="0"/>
              </w:numPr>
              <w:rPr>
                <w:rFonts w:hint="eastAsia" w:ascii="宋体" w:hAnsi="宋体" w:eastAsia="宋体" w:cs="宋体"/>
                <w:b w:val="0"/>
                <w:color w:val="auto"/>
                <w:spacing w:val="0"/>
                <w:sz w:val="20"/>
                <w:szCs w:val="20"/>
                <w:highlight w:val="none"/>
                <w:lang w:val="en-US" w:eastAsia="zh-CN" w:bidi="ar-SA"/>
              </w:rPr>
            </w:pPr>
            <w:r>
              <w:rPr>
                <w:rFonts w:hint="eastAsia" w:ascii="宋体" w:hAnsi="宋体" w:eastAsia="宋体" w:cs="宋体"/>
                <w:b w:val="0"/>
                <w:color w:val="auto"/>
                <w:spacing w:val="0"/>
                <w:sz w:val="20"/>
                <w:szCs w:val="20"/>
                <w:highlight w:val="none"/>
                <w:lang w:val="en-US" w:eastAsia="zh-CN" w:bidi="ar-SA"/>
              </w:rPr>
              <w:t>末喷涂为复合涂层结构，由防腐型环氧粉末底层和抗机械损伤型环氧粉末面层喷涂成膜完成；环氧粉末质量、性能、施工及验收执行《埋地钢质管道双层熔结环氧粉末外涂层技术规范》(Q/CNPC38-2002)、《熔融结合环氧粉末涂料的防腐蚀涂装》(GB/T18593-2010)和相关的技术要求；管端预留长度为150mm 用于现场补口。</w:t>
            </w:r>
          </w:p>
          <w:p w14:paraId="0D8DC2D6">
            <w:pPr>
              <w:pStyle w:val="2"/>
              <w:numPr>
                <w:ilvl w:val="0"/>
                <w:numId w:val="0"/>
              </w:numPr>
              <w:rPr>
                <w:rFonts w:hint="eastAsia" w:ascii="宋体" w:hAnsi="宋体" w:eastAsia="宋体" w:cs="宋体"/>
                <w:b w:val="0"/>
                <w:color w:val="auto"/>
                <w:spacing w:val="0"/>
                <w:sz w:val="20"/>
                <w:szCs w:val="20"/>
                <w:highlight w:val="none"/>
                <w:lang w:val="en-US" w:eastAsia="zh-CN" w:bidi="ar-SA"/>
              </w:rPr>
            </w:pPr>
            <w:r>
              <w:rPr>
                <w:rFonts w:hint="eastAsia" w:ascii="宋体" w:hAnsi="宋体" w:eastAsia="宋体" w:cs="宋体"/>
                <w:b w:val="0"/>
                <w:color w:val="auto"/>
                <w:spacing w:val="0"/>
                <w:sz w:val="20"/>
                <w:szCs w:val="20"/>
                <w:highlight w:val="none"/>
                <w:lang w:val="en-US" w:eastAsia="zh-CN" w:bidi="ar-SA"/>
              </w:rPr>
              <w:t xml:space="preserve">     (2)埋地钢管采用特加强级环氧煤沥青涂料，六油二布结构，并满足《给水排水管道工程施工及</w:t>
            </w:r>
          </w:p>
          <w:p w14:paraId="7DE965BD">
            <w:pPr>
              <w:pStyle w:val="2"/>
              <w:numPr>
                <w:ilvl w:val="0"/>
                <w:numId w:val="0"/>
              </w:numPr>
              <w:rPr>
                <w:rFonts w:hint="eastAsia" w:ascii="宋体" w:hAnsi="宋体" w:eastAsia="宋体" w:cs="宋体"/>
                <w:b w:val="0"/>
                <w:color w:val="auto"/>
                <w:spacing w:val="0"/>
                <w:sz w:val="20"/>
                <w:szCs w:val="20"/>
                <w:highlight w:val="none"/>
                <w:lang w:val="en-US" w:eastAsia="zh-CN" w:bidi="ar-SA"/>
              </w:rPr>
            </w:pPr>
            <w:r>
              <w:rPr>
                <w:rFonts w:hint="eastAsia" w:ascii="宋体" w:hAnsi="宋体" w:eastAsia="宋体" w:cs="宋体"/>
                <w:b w:val="0"/>
                <w:color w:val="auto"/>
                <w:spacing w:val="0"/>
                <w:sz w:val="20"/>
                <w:szCs w:val="20"/>
                <w:highlight w:val="none"/>
                <w:lang w:val="en-US" w:eastAsia="zh-CN" w:bidi="ar-SA"/>
              </w:rPr>
              <w:t>验收规范 GB50268-2008》及有关规定。</w:t>
            </w:r>
          </w:p>
          <w:p w14:paraId="047DD6F3">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C、★钢管内防腐</w:t>
            </w:r>
          </w:p>
          <w:p w14:paraId="4AC0571E">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DN≥600管道内防腐采用水泥砂浆进行防腐，按T/CECS 10-2019执 行 。DN&lt;600 管道及配件内防腐</w:t>
            </w:r>
          </w:p>
          <w:p w14:paraId="2A916CC6">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采用液体环氧涂料。内防腐应先行抛丸除锈，除锈施工达标后方可喷涂。液体环氧涂料做法采用二道底漆二道面漆，涂层干膜总厚度不少于200 μm, 总用量不少于0.4kg/m²</w:t>
            </w:r>
          </w:p>
          <w:p w14:paraId="10B376F2">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采用的防腐涂料符合《生活饮用水输配水设备及防护材料卫生安全评价规范》的规定，满足卫生部“生活饮用水输配水设备及防护材料的安全性评价标准”规定的全部指标，必须具有国家卫生部“涉及饮用水卫生安全国产产品”卫生许可批件。</w:t>
            </w:r>
          </w:p>
          <w:p w14:paraId="2F47621C">
            <w:pPr>
              <w:spacing w:line="360" w:lineRule="exact"/>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内防腐涂抹完成后应光滑、无开裂脱落、无毛刺凸起，粗糙度应≤0.012。</w:t>
            </w:r>
          </w:p>
          <w:p w14:paraId="12280D5A">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D、钢管焊接口</w:t>
            </w:r>
          </w:p>
          <w:p w14:paraId="4964FB02">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焊接口应补充防腐措施，在现场实施。</w:t>
            </w:r>
          </w:p>
          <w:p w14:paraId="640C5783">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w:t>
            </w:r>
            <w:r>
              <w:rPr>
                <w:rFonts w:hint="eastAsia" w:ascii="宋体" w:hAnsi="宋体" w:eastAsia="宋体" w:cs="宋体"/>
                <w:color w:val="auto"/>
                <w:sz w:val="20"/>
                <w:szCs w:val="20"/>
                <w:highlight w:val="none"/>
                <w:lang w:eastAsia="zh-CN"/>
              </w:rPr>
              <w:t>6</w:t>
            </w:r>
            <w:r>
              <w:rPr>
                <w:rFonts w:hint="eastAsia" w:ascii="宋体" w:hAnsi="宋体" w:eastAsia="宋体" w:cs="宋体"/>
                <w:color w:val="auto"/>
                <w:sz w:val="20"/>
                <w:szCs w:val="20"/>
                <w:highlight w:val="none"/>
              </w:rPr>
              <w:t xml:space="preserve"> 其他要求</w:t>
            </w:r>
          </w:p>
          <w:p w14:paraId="1E9EBE89">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钢管的错边、焊缝缺陷、缺陷的处置和修补应符合SY/T5037《普通流体输送管道用螺旋缝埋弧焊钢管》的相关规定。</w:t>
            </w:r>
          </w:p>
          <w:p w14:paraId="0150ACAE">
            <w:pPr>
              <w:spacing w:line="360" w:lineRule="exact"/>
              <w:outlineLvl w:val="1"/>
              <w:rPr>
                <w:rFonts w:hint="eastAsia" w:ascii="宋体" w:hAnsi="宋体" w:eastAsia="宋体" w:cs="宋体"/>
                <w:color w:val="auto"/>
                <w:sz w:val="20"/>
                <w:szCs w:val="20"/>
                <w:highlight w:val="none"/>
              </w:rPr>
            </w:pPr>
            <w:bookmarkStart w:id="76" w:name="_Toc13677"/>
            <w:bookmarkStart w:id="77" w:name="_Toc25952"/>
            <w:r>
              <w:rPr>
                <w:rFonts w:hint="eastAsia" w:ascii="宋体" w:hAnsi="宋体" w:eastAsia="宋体" w:cs="宋体"/>
                <w:color w:val="auto"/>
                <w:sz w:val="20"/>
                <w:szCs w:val="20"/>
                <w:highlight w:val="none"/>
              </w:rPr>
              <w:t>2.4钢管试验方法及检验规则</w:t>
            </w:r>
            <w:bookmarkEnd w:id="76"/>
            <w:bookmarkEnd w:id="77"/>
          </w:p>
          <w:p w14:paraId="1098EB0F">
            <w:pPr>
              <w:spacing w:line="360" w:lineRule="exact"/>
              <w:ind w:firstLine="420"/>
              <w:rPr>
                <w:rFonts w:hint="eastAsia" w:ascii="宋体" w:hAnsi="宋体" w:eastAsia="宋体" w:cs="宋体"/>
                <w:i w:val="0"/>
                <w:iCs w:val="0"/>
                <w:color w:val="000000"/>
                <w:sz w:val="20"/>
                <w:szCs w:val="20"/>
                <w:u w:val="none"/>
              </w:rPr>
            </w:pPr>
            <w:r>
              <w:rPr>
                <w:rFonts w:hint="eastAsia" w:ascii="宋体" w:hAnsi="宋体" w:eastAsia="宋体" w:cs="宋体"/>
                <w:color w:val="auto"/>
                <w:sz w:val="20"/>
                <w:szCs w:val="20"/>
                <w:highlight w:val="none"/>
              </w:rPr>
              <w:t>钢管的试验方法应符合SY/T5037《普通流体输送管道用螺旋缝埋弧焊钢管》的相关规定。</w:t>
            </w:r>
          </w:p>
        </w:tc>
      </w:tr>
    </w:tbl>
    <w:p w14:paraId="63C34699"/>
    <w:p w14:paraId="6D486542">
      <w:r>
        <w:br w:type="page"/>
      </w:r>
    </w:p>
    <w:p w14:paraId="579DC13E">
      <w:pP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报价清单</w:t>
      </w:r>
    </w:p>
    <w:p w14:paraId="33143753">
      <w:pPr>
        <w:pStyle w:val="15"/>
        <w:jc w:val="center"/>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lang w:val="en-US" w:eastAsia="zh-CN"/>
          <w14:textFill>
            <w14:solidFill>
              <w14:schemeClr w14:val="tx1"/>
            </w14:solidFill>
          </w14:textFill>
        </w:rPr>
        <w:t>管材</w:t>
      </w:r>
      <w:r>
        <w:rPr>
          <w:rFonts w:hint="eastAsia" w:ascii="宋体" w:hAnsi="宋体" w:eastAsia="宋体" w:cs="宋体"/>
          <w:color w:val="000000" w:themeColor="text1"/>
          <w:kern w:val="2"/>
          <w:sz w:val="28"/>
          <w:szCs w:val="28"/>
          <w:highlight w:val="none"/>
          <w14:textFill>
            <w14:solidFill>
              <w14:schemeClr w14:val="tx1"/>
            </w14:solidFill>
          </w14:textFill>
        </w:rPr>
        <w:t>类设备报价清单</w:t>
      </w:r>
    </w:p>
    <w:tbl>
      <w:tblPr>
        <w:tblStyle w:val="11"/>
        <w:tblW w:w="10489"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22"/>
        <w:gridCol w:w="1300"/>
        <w:gridCol w:w="856"/>
        <w:gridCol w:w="866"/>
        <w:gridCol w:w="923"/>
        <w:gridCol w:w="1377"/>
        <w:gridCol w:w="1434"/>
        <w:gridCol w:w="1622"/>
      </w:tblGrid>
      <w:tr w14:paraId="06FE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9" w:type="dxa"/>
            <w:vAlign w:val="center"/>
          </w:tcPr>
          <w:p w14:paraId="555C7D71">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序号</w:t>
            </w:r>
          </w:p>
        </w:tc>
        <w:tc>
          <w:tcPr>
            <w:tcW w:w="1322" w:type="dxa"/>
            <w:tcBorders>
              <w:bottom w:val="single" w:color="auto" w:sz="4" w:space="0"/>
            </w:tcBorders>
            <w:vAlign w:val="center"/>
          </w:tcPr>
          <w:p w14:paraId="288C276B">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设备名称</w:t>
            </w:r>
          </w:p>
        </w:tc>
        <w:tc>
          <w:tcPr>
            <w:tcW w:w="1300" w:type="dxa"/>
            <w:vAlign w:val="center"/>
          </w:tcPr>
          <w:p w14:paraId="57F8A228">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规格型号</w:t>
            </w:r>
          </w:p>
        </w:tc>
        <w:tc>
          <w:tcPr>
            <w:tcW w:w="856" w:type="dxa"/>
            <w:vAlign w:val="center"/>
          </w:tcPr>
          <w:p w14:paraId="2EA6901D">
            <w:pPr>
              <w:jc w:val="center"/>
              <w:rPr>
                <w:rFonts w:hint="eastAsia" w:hAnsi="宋体" w:eastAsia="宋体"/>
                <w:b/>
                <w:color w:val="000000" w:themeColor="text1"/>
                <w:sz w:val="24"/>
                <w:highlight w:val="none"/>
                <w:lang w:val="en-US" w:eastAsia="zh-CN"/>
                <w14:textFill>
                  <w14:solidFill>
                    <w14:schemeClr w14:val="tx1"/>
                  </w14:solidFill>
                </w14:textFill>
              </w:rPr>
            </w:pPr>
            <w:r>
              <w:rPr>
                <w:rFonts w:hint="eastAsia" w:hAnsi="宋体"/>
                <w:b/>
                <w:color w:val="000000" w:themeColor="text1"/>
                <w:sz w:val="24"/>
                <w:highlight w:val="none"/>
                <w:lang w:val="en-US" w:eastAsia="zh-CN"/>
                <w14:textFill>
                  <w14:solidFill>
                    <w14:schemeClr w14:val="tx1"/>
                  </w14:solidFill>
                </w14:textFill>
              </w:rPr>
              <w:t>材质</w:t>
            </w:r>
          </w:p>
        </w:tc>
        <w:tc>
          <w:tcPr>
            <w:tcW w:w="866" w:type="dxa"/>
            <w:vAlign w:val="center"/>
          </w:tcPr>
          <w:p w14:paraId="0E056FAF">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单位</w:t>
            </w:r>
          </w:p>
        </w:tc>
        <w:tc>
          <w:tcPr>
            <w:tcW w:w="923" w:type="dxa"/>
            <w:vAlign w:val="center"/>
          </w:tcPr>
          <w:p w14:paraId="6D213B1D">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数量</w:t>
            </w:r>
          </w:p>
        </w:tc>
        <w:tc>
          <w:tcPr>
            <w:tcW w:w="1377" w:type="dxa"/>
            <w:vAlign w:val="center"/>
          </w:tcPr>
          <w:p w14:paraId="292CC254">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单价(元)</w:t>
            </w:r>
          </w:p>
        </w:tc>
        <w:tc>
          <w:tcPr>
            <w:tcW w:w="1434" w:type="dxa"/>
            <w:vAlign w:val="center"/>
          </w:tcPr>
          <w:p w14:paraId="5656C106">
            <w:pPr>
              <w:jc w:val="both"/>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总价（元）</w:t>
            </w:r>
          </w:p>
        </w:tc>
        <w:tc>
          <w:tcPr>
            <w:tcW w:w="1622" w:type="dxa"/>
            <w:vAlign w:val="center"/>
          </w:tcPr>
          <w:p w14:paraId="518FDCBB">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备注</w:t>
            </w:r>
          </w:p>
        </w:tc>
      </w:tr>
      <w:tr w14:paraId="3BED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010B101C">
            <w:pPr>
              <w:widowControl/>
              <w:jc w:val="center"/>
              <w:textAlignment w:val="center"/>
              <w:rPr>
                <w:rFonts w:hAnsi="宋体"/>
                <w:color w:val="000000" w:themeColor="text1"/>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1</w:t>
            </w:r>
          </w:p>
        </w:tc>
        <w:tc>
          <w:tcPr>
            <w:tcW w:w="1322" w:type="dxa"/>
            <w:tcBorders>
              <w:top w:val="single" w:color="auto" w:sz="4" w:space="0"/>
              <w:left w:val="single" w:color="auto" w:sz="4" w:space="0"/>
              <w:right w:val="single" w:color="auto" w:sz="4" w:space="0"/>
            </w:tcBorders>
            <w:vAlign w:val="center"/>
          </w:tcPr>
          <w:p w14:paraId="139EF88F">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643B7EDA">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50EA2EE7">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5225AADA">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62CE0BA8">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2DFA3D4">
            <w:pPr>
              <w:jc w:val="center"/>
              <w:rPr>
                <w:rFonts w:hAnsi="宋体"/>
                <w:color w:val="000000" w:themeColor="text1"/>
                <w:sz w:val="24"/>
                <w:highlight w:val="none"/>
                <w14:textFill>
                  <w14:solidFill>
                    <w14:schemeClr w14:val="tx1"/>
                  </w14:solidFill>
                </w14:textFill>
              </w:rPr>
            </w:pPr>
          </w:p>
        </w:tc>
        <w:tc>
          <w:tcPr>
            <w:tcW w:w="1434" w:type="dxa"/>
            <w:vAlign w:val="center"/>
          </w:tcPr>
          <w:p w14:paraId="5A1D8ED1">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19507F24">
            <w:pPr>
              <w:widowControl/>
              <w:jc w:val="center"/>
              <w:textAlignment w:val="bottom"/>
              <w:rPr>
                <w:rFonts w:hAnsi="宋体"/>
                <w:color w:val="000000" w:themeColor="text1"/>
                <w:kern w:val="0"/>
                <w:sz w:val="24"/>
                <w:highlight w:val="none"/>
                <w14:textFill>
                  <w14:solidFill>
                    <w14:schemeClr w14:val="tx1"/>
                  </w14:solidFill>
                </w14:textFill>
              </w:rPr>
            </w:pPr>
          </w:p>
        </w:tc>
      </w:tr>
      <w:tr w14:paraId="66FB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17C9300B">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2</w:t>
            </w:r>
          </w:p>
        </w:tc>
        <w:tc>
          <w:tcPr>
            <w:tcW w:w="1322" w:type="dxa"/>
            <w:tcBorders>
              <w:top w:val="single" w:color="auto" w:sz="4" w:space="0"/>
              <w:left w:val="single" w:color="auto" w:sz="4" w:space="0"/>
              <w:right w:val="single" w:color="auto" w:sz="4" w:space="0"/>
            </w:tcBorders>
            <w:vAlign w:val="center"/>
          </w:tcPr>
          <w:p w14:paraId="28E7F9C6">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66ECB41D">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1D64E9B4">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778BD417">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54DE2ABD">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0EB561C">
            <w:pPr>
              <w:jc w:val="center"/>
              <w:rPr>
                <w:rFonts w:hAnsi="宋体"/>
                <w:color w:val="000000" w:themeColor="text1"/>
                <w:sz w:val="24"/>
                <w:highlight w:val="none"/>
                <w14:textFill>
                  <w14:solidFill>
                    <w14:schemeClr w14:val="tx1"/>
                  </w14:solidFill>
                </w14:textFill>
              </w:rPr>
            </w:pPr>
          </w:p>
        </w:tc>
        <w:tc>
          <w:tcPr>
            <w:tcW w:w="1434" w:type="dxa"/>
            <w:vAlign w:val="center"/>
          </w:tcPr>
          <w:p w14:paraId="1AE6EEA1">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68FB61CE">
            <w:pPr>
              <w:widowControl/>
              <w:jc w:val="center"/>
              <w:textAlignment w:val="bottom"/>
              <w:rPr>
                <w:rFonts w:hAnsi="宋体"/>
                <w:color w:val="000000" w:themeColor="text1"/>
                <w:kern w:val="0"/>
                <w:sz w:val="24"/>
                <w:highlight w:val="none"/>
                <w14:textFill>
                  <w14:solidFill>
                    <w14:schemeClr w14:val="tx1"/>
                  </w14:solidFill>
                </w14:textFill>
              </w:rPr>
            </w:pPr>
          </w:p>
        </w:tc>
      </w:tr>
      <w:tr w14:paraId="18A8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6968D002">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3</w:t>
            </w:r>
          </w:p>
        </w:tc>
        <w:tc>
          <w:tcPr>
            <w:tcW w:w="1322" w:type="dxa"/>
            <w:tcBorders>
              <w:top w:val="single" w:color="auto" w:sz="4" w:space="0"/>
              <w:left w:val="single" w:color="auto" w:sz="4" w:space="0"/>
              <w:right w:val="single" w:color="auto" w:sz="4" w:space="0"/>
            </w:tcBorders>
            <w:vAlign w:val="center"/>
          </w:tcPr>
          <w:p w14:paraId="168ECFE5">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5E2C0CF1">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4A57A256">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2AA9DB03">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532E4269">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14BDF76F">
            <w:pPr>
              <w:jc w:val="center"/>
              <w:rPr>
                <w:rFonts w:hAnsi="宋体"/>
                <w:color w:val="000000" w:themeColor="text1"/>
                <w:sz w:val="24"/>
                <w:highlight w:val="none"/>
                <w14:textFill>
                  <w14:solidFill>
                    <w14:schemeClr w14:val="tx1"/>
                  </w14:solidFill>
                </w14:textFill>
              </w:rPr>
            </w:pPr>
          </w:p>
        </w:tc>
        <w:tc>
          <w:tcPr>
            <w:tcW w:w="1434" w:type="dxa"/>
            <w:vAlign w:val="center"/>
          </w:tcPr>
          <w:p w14:paraId="593BC23E">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77BC8BED">
            <w:pPr>
              <w:widowControl/>
              <w:jc w:val="center"/>
              <w:textAlignment w:val="bottom"/>
              <w:rPr>
                <w:rFonts w:hAnsi="宋体"/>
                <w:color w:val="000000" w:themeColor="text1"/>
                <w:kern w:val="0"/>
                <w:sz w:val="24"/>
                <w:highlight w:val="none"/>
                <w14:textFill>
                  <w14:solidFill>
                    <w14:schemeClr w14:val="tx1"/>
                  </w14:solidFill>
                </w14:textFill>
              </w:rPr>
            </w:pPr>
          </w:p>
        </w:tc>
      </w:tr>
      <w:tr w14:paraId="2B18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03D25793">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w:t>
            </w:r>
          </w:p>
        </w:tc>
        <w:tc>
          <w:tcPr>
            <w:tcW w:w="1322" w:type="dxa"/>
            <w:tcBorders>
              <w:top w:val="single" w:color="auto" w:sz="4" w:space="0"/>
              <w:left w:val="single" w:color="auto" w:sz="4" w:space="0"/>
              <w:right w:val="single" w:color="auto" w:sz="4" w:space="0"/>
            </w:tcBorders>
            <w:vAlign w:val="center"/>
          </w:tcPr>
          <w:p w14:paraId="4110FA85">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1B656E12">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6CFBE2E6">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7F8A22B4">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023848B1">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7AA386BA">
            <w:pPr>
              <w:jc w:val="center"/>
              <w:rPr>
                <w:rFonts w:hAnsi="宋体"/>
                <w:color w:val="000000" w:themeColor="text1"/>
                <w:sz w:val="24"/>
                <w:highlight w:val="none"/>
                <w14:textFill>
                  <w14:solidFill>
                    <w14:schemeClr w14:val="tx1"/>
                  </w14:solidFill>
                </w14:textFill>
              </w:rPr>
            </w:pPr>
          </w:p>
        </w:tc>
        <w:tc>
          <w:tcPr>
            <w:tcW w:w="1434" w:type="dxa"/>
            <w:vAlign w:val="center"/>
          </w:tcPr>
          <w:p w14:paraId="19EC9D40">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4F91A59A">
            <w:pPr>
              <w:widowControl/>
              <w:jc w:val="center"/>
              <w:textAlignment w:val="bottom"/>
              <w:rPr>
                <w:rFonts w:hAnsi="宋体"/>
                <w:color w:val="000000" w:themeColor="text1"/>
                <w:kern w:val="0"/>
                <w:sz w:val="24"/>
                <w:highlight w:val="none"/>
                <w14:textFill>
                  <w14:solidFill>
                    <w14:schemeClr w14:val="tx1"/>
                  </w14:solidFill>
                </w14:textFill>
              </w:rPr>
            </w:pPr>
          </w:p>
        </w:tc>
      </w:tr>
      <w:tr w14:paraId="6FDC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vAlign w:val="center"/>
          </w:tcPr>
          <w:p w14:paraId="052C6D99">
            <w:pPr>
              <w:widowControl/>
              <w:jc w:val="left"/>
              <w:textAlignment w:val="center"/>
              <w:rPr>
                <w:rFonts w:hint="eastAsia" w:hAnsi="宋体"/>
                <w:color w:val="000000" w:themeColor="text1"/>
                <w:sz w:val="24"/>
                <w:highlight w:val="none"/>
                <w14:textFill>
                  <w14:solidFill>
                    <w14:schemeClr w14:val="tx1"/>
                  </w14:solidFill>
                </w14:textFill>
              </w:rPr>
            </w:pPr>
          </w:p>
        </w:tc>
        <w:tc>
          <w:tcPr>
            <w:tcW w:w="9700" w:type="dxa"/>
            <w:gridSpan w:val="8"/>
            <w:vAlign w:val="center"/>
          </w:tcPr>
          <w:p w14:paraId="3712A41E">
            <w:pPr>
              <w:widowControl/>
              <w:jc w:val="left"/>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总金额：</w:t>
            </w:r>
            <w:r>
              <w:rPr>
                <w:rFonts w:hint="eastAsia"/>
                <w:color w:val="000000" w:themeColor="text1"/>
                <w:sz w:val="24"/>
                <w:highlight w:val="none"/>
                <w14:textFill>
                  <w14:solidFill>
                    <w14:schemeClr w14:val="tx1"/>
                  </w14:solidFill>
                </w14:textFill>
              </w:rPr>
              <w:t>人民币            元整（￥             ）</w:t>
            </w:r>
          </w:p>
        </w:tc>
      </w:tr>
    </w:tbl>
    <w:p w14:paraId="651047F7">
      <w:pPr>
        <w:pStyle w:val="8"/>
        <w:spacing w:line="360" w:lineRule="auto"/>
        <w:ind w:left="912" w:hanging="912" w:hangingChars="380"/>
        <w:rPr>
          <w:rFonts w:hAnsi="宋体"/>
          <w:color w:val="000000" w:themeColor="text1"/>
          <w:sz w:val="24"/>
          <w:szCs w:val="24"/>
          <w:highlight w:val="none"/>
          <w14:textFill>
            <w14:solidFill>
              <w14:schemeClr w14:val="tx1"/>
            </w14:solidFill>
          </w14:textFill>
        </w:rPr>
      </w:pPr>
    </w:p>
    <w:p w14:paraId="3267FF3B">
      <w:pPr>
        <w:pStyle w:val="8"/>
        <w:spacing w:line="360" w:lineRule="auto"/>
        <w:ind w:left="845" w:hanging="844" w:hangingChars="352"/>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注：1. </w:t>
      </w:r>
      <w:r>
        <w:rPr>
          <w:rFonts w:hint="eastAsia" w:hAnsi="宋体"/>
          <w:color w:val="000000" w:themeColor="text1"/>
          <w:sz w:val="24"/>
          <w:szCs w:val="24"/>
          <w:highlight w:val="none"/>
          <w14:textFill>
            <w14:solidFill>
              <w14:schemeClr w14:val="tx1"/>
            </w14:solidFill>
          </w14:textFill>
        </w:rPr>
        <w:t>报价必须包括货物的所有费用，</w:t>
      </w:r>
      <w:r>
        <w:rPr>
          <w:rFonts w:hint="eastAsia" w:hAnsi="宋体"/>
          <w:color w:val="000000" w:themeColor="text1"/>
          <w:sz w:val="24"/>
          <w:szCs w:val="24"/>
          <w:highlight w:val="none"/>
          <w:lang w:val="en-US" w:eastAsia="zh-CN"/>
          <w14:textFill>
            <w14:solidFill>
              <w14:schemeClr w14:val="tx1"/>
            </w14:solidFill>
          </w14:textFill>
        </w:rPr>
        <w:t>包括采购、运输、卸货、管理、利润、税金、保险、协调、售后服务以及所有的不定因素的风险</w:t>
      </w:r>
      <w:r>
        <w:rPr>
          <w:rFonts w:hint="eastAsia" w:hAnsi="宋体"/>
          <w:color w:val="000000" w:themeColor="text1"/>
          <w:sz w:val="24"/>
          <w:szCs w:val="24"/>
          <w:highlight w:val="none"/>
          <w14:textFill>
            <w14:solidFill>
              <w14:schemeClr w14:val="tx1"/>
            </w14:solidFill>
          </w14:textFill>
        </w:rPr>
        <w:t>等。</w:t>
      </w:r>
    </w:p>
    <w:p w14:paraId="7C8C68B0">
      <w:pPr>
        <w:pStyle w:val="8"/>
        <w:spacing w:line="360" w:lineRule="auto"/>
        <w:ind w:left="630" w:hanging="63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2</w:t>
      </w:r>
      <w:r>
        <w:rPr>
          <w:rFonts w:hAnsi="宋体"/>
          <w:color w:val="000000" w:themeColor="text1"/>
          <w:sz w:val="24"/>
          <w:szCs w:val="24"/>
          <w:highlight w:val="none"/>
          <w14:textFill>
            <w14:solidFill>
              <w14:schemeClr w14:val="tx1"/>
            </w14:solidFill>
          </w14:textFill>
        </w:rPr>
        <w:t>. 上述报价已含</w:t>
      </w:r>
      <w:r>
        <w:rPr>
          <w:rFonts w:hint="eastAsia" w:hAnsi="宋体"/>
          <w:color w:val="000000" w:themeColor="text1"/>
          <w:sz w:val="24"/>
          <w:szCs w:val="24"/>
          <w:highlight w:val="none"/>
          <w:lang w:val="en-US" w:eastAsia="zh-CN"/>
          <w14:textFill>
            <w14:solidFill>
              <w14:schemeClr w14:val="tx1"/>
            </w14:solidFill>
          </w14:textFill>
        </w:rPr>
        <w:t>供应商</w:t>
      </w:r>
      <w:r>
        <w:rPr>
          <w:rFonts w:hAnsi="宋体"/>
          <w:color w:val="000000" w:themeColor="text1"/>
          <w:sz w:val="24"/>
          <w:szCs w:val="24"/>
          <w:highlight w:val="none"/>
          <w14:textFill>
            <w14:solidFill>
              <w14:schemeClr w14:val="tx1"/>
            </w14:solidFill>
          </w14:textFill>
        </w:rPr>
        <w:t>按中国法律规定应</w:t>
      </w:r>
      <w:r>
        <w:rPr>
          <w:rFonts w:hint="eastAsia" w:hAnsi="宋体"/>
          <w:color w:val="000000" w:themeColor="text1"/>
          <w:sz w:val="24"/>
          <w:szCs w:val="24"/>
          <w:highlight w:val="none"/>
          <w14:textFill>
            <w14:solidFill>
              <w14:schemeClr w14:val="tx1"/>
            </w14:solidFill>
          </w14:textFill>
        </w:rPr>
        <w:t>缴纳</w:t>
      </w:r>
      <w:r>
        <w:rPr>
          <w:rFonts w:hAnsi="宋体"/>
          <w:color w:val="000000" w:themeColor="text1"/>
          <w:sz w:val="24"/>
          <w:szCs w:val="24"/>
          <w:highlight w:val="none"/>
          <w14:textFill>
            <w14:solidFill>
              <w14:schemeClr w14:val="tx1"/>
            </w14:solidFill>
          </w14:textFill>
        </w:rPr>
        <w:t>的一切税费。</w:t>
      </w:r>
    </w:p>
    <w:p w14:paraId="34BEB024">
      <w:pPr>
        <w:pStyle w:val="8"/>
        <w:spacing w:line="360" w:lineRule="auto"/>
        <w:rPr>
          <w:rFonts w:hAnsi="宋体"/>
          <w:color w:val="000000" w:themeColor="text1"/>
          <w:sz w:val="24"/>
          <w:szCs w:val="24"/>
          <w:highlight w:val="none"/>
          <w14:textFill>
            <w14:solidFill>
              <w14:schemeClr w14:val="tx1"/>
            </w14:solidFill>
          </w14:textFill>
        </w:rPr>
      </w:pPr>
    </w:p>
    <w:p w14:paraId="0278D1DB">
      <w:pPr>
        <w:tabs>
          <w:tab w:val="left" w:pos="9230"/>
        </w:tabs>
        <w:autoSpaceDE w:val="0"/>
        <w:autoSpaceDN w:val="0"/>
        <w:adjustRightInd w:val="0"/>
        <w:spacing w:line="48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供应商</w:t>
      </w:r>
      <w:r>
        <w:rPr>
          <w:rFonts w:hAnsi="宋体"/>
          <w:color w:val="000000" w:themeColor="text1"/>
          <w:sz w:val="24"/>
          <w:highlight w:val="none"/>
          <w14:textFill>
            <w14:solidFill>
              <w14:schemeClr w14:val="tx1"/>
            </w14:solidFill>
          </w14:textFill>
        </w:rPr>
        <w:t xml:space="preserve">（单位公章）：                 </w:t>
      </w:r>
    </w:p>
    <w:p w14:paraId="28EFD609">
      <w:pPr>
        <w:ind w:firstLine="470" w:firstLineChars="196"/>
        <w:rPr>
          <w:rFonts w:ascii="宋体" w:hAnsi="宋体"/>
          <w:b/>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日   期：</w:t>
      </w:r>
    </w:p>
    <w:p w14:paraId="7A5C7BC4">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singleLevel"/>
    <w:tmpl w:val="00000015"/>
    <w:lvl w:ilvl="0" w:tentative="0">
      <w:start w:val="1"/>
      <w:numFmt w:val="decimal"/>
      <w:suff w:val="nothing"/>
      <w:lvlText w:val="2.3.%1"/>
      <w:lvlJc w:val="left"/>
      <w:pPr>
        <w:ind w:left="0" w:firstLine="0"/>
      </w:pPr>
      <w:rPr>
        <w:rFonts w:hint="default"/>
      </w:rPr>
    </w:lvl>
  </w:abstractNum>
  <w:abstractNum w:abstractNumId="1">
    <w:nsid w:val="513575C8"/>
    <w:multiLevelType w:val="multilevel"/>
    <w:tmpl w:val="513575C8"/>
    <w:lvl w:ilvl="0" w:tentative="0">
      <w:start w:val="1"/>
      <w:numFmt w:val="none"/>
      <w:suff w:val="nothing"/>
      <w:lvlText w:val=""/>
      <w:lvlJc w:val="left"/>
      <w:pPr>
        <w:ind w:left="0" w:firstLine="0"/>
      </w:pPr>
      <w:rPr>
        <w:rFonts w:hint="default" w:ascii="宋体" w:hAnsi="宋体" w:eastAsia="宋体" w:cs="宋体"/>
      </w:rPr>
    </w:lvl>
    <w:lvl w:ilvl="1" w:tentative="0">
      <w:start w:val="1"/>
      <w:numFmt w:val="none"/>
      <w:suff w:val="nothing"/>
      <w:lvlText w:val=""/>
      <w:lvlJc w:val="left"/>
      <w:pPr>
        <w:ind w:left="0" w:firstLine="0"/>
      </w:pPr>
      <w:rPr>
        <w:rFonts w:hint="default" w:ascii="宋体" w:hAnsi="宋体" w:eastAsia="宋体" w:cs="宋体"/>
      </w:rPr>
    </w:lvl>
    <w:lvl w:ilvl="2" w:tentative="0">
      <w:start w:val="1"/>
      <w:numFmt w:val="decimal"/>
      <w:pStyle w:val="5"/>
      <w:isLgl/>
      <w:suff w:val="nothing"/>
      <w:lvlText w:val="%3、"/>
      <w:lvlJc w:val="left"/>
      <w:pPr>
        <w:tabs>
          <w:tab w:val="left" w:pos="0"/>
        </w:tabs>
        <w:ind w:left="0" w:firstLine="0"/>
      </w:pPr>
      <w:rPr>
        <w:rFonts w:hint="default" w:ascii="宋体" w:hAnsi="宋体" w:eastAsia="宋体" w:cs="宋体"/>
        <w:color w:val="auto"/>
      </w:rPr>
    </w:lvl>
    <w:lvl w:ilvl="3" w:tentative="0">
      <w:start w:val="1"/>
      <w:numFmt w:val="decimal"/>
      <w:isLgl/>
      <w:suff w:val="nothing"/>
      <w:lvlText w:val="%3.%4"/>
      <w:lvlJc w:val="left"/>
      <w:pPr>
        <w:tabs>
          <w:tab w:val="left" w:pos="0"/>
        </w:tabs>
        <w:ind w:left="0" w:firstLine="0"/>
      </w:pPr>
      <w:rPr>
        <w:rFonts w:hint="default" w:ascii="宋体" w:hAnsi="宋体" w:eastAsia="宋体" w:cs="宋体"/>
      </w:rPr>
    </w:lvl>
    <w:lvl w:ilvl="4" w:tentative="0">
      <w:start w:val="1"/>
      <w:numFmt w:val="decimal"/>
      <w:pStyle w:val="6"/>
      <w:isLgl/>
      <w:suff w:val="nothing"/>
      <w:lvlText w:val="%3.%4.%5"/>
      <w:lvlJc w:val="left"/>
      <w:pPr>
        <w:tabs>
          <w:tab w:val="left" w:pos="0"/>
        </w:tabs>
        <w:ind w:left="0" w:firstLine="0"/>
      </w:pPr>
      <w:rPr>
        <w:rFonts w:hint="default"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C78D6CF"/>
    <w:multiLevelType w:val="singleLevel"/>
    <w:tmpl w:val="5C78D6CF"/>
    <w:lvl w:ilvl="0" w:tentative="0">
      <w:start w:val="1"/>
      <w:numFmt w:val="chineseCounting"/>
      <w:suff w:val="nothing"/>
      <w:lvlText w:val="%1、"/>
      <w:lvlJc w:val="left"/>
      <w:pPr>
        <w:ind w:left="0" w:firstLine="420"/>
      </w:pPr>
      <w:rPr>
        <w:rFonts w:hint="eastAsia"/>
      </w:rPr>
    </w:lvl>
  </w:abstractNum>
  <w:abstractNum w:abstractNumId="3">
    <w:nsid w:val="63A57285"/>
    <w:multiLevelType w:val="singleLevel"/>
    <w:tmpl w:val="63A57285"/>
    <w:lvl w:ilvl="0" w:tentative="0">
      <w:start w:val="1"/>
      <w:numFmt w:val="decimal"/>
      <w:lvlText w:val="1.%1"/>
      <w:lvlJc w:val="left"/>
      <w:pPr>
        <w:tabs>
          <w:tab w:val="left" w:pos="420"/>
        </w:tabs>
        <w:ind w:left="425" w:hanging="425"/>
      </w:pPr>
      <w:rPr>
        <w:rFonts w:hint="default"/>
      </w:rPr>
    </w:lvl>
  </w:abstractNum>
  <w:abstractNum w:abstractNumId="4">
    <w:nsid w:val="63A57993"/>
    <w:multiLevelType w:val="singleLevel"/>
    <w:tmpl w:val="63A57993"/>
    <w:lvl w:ilvl="0" w:tentative="0">
      <w:start w:val="1"/>
      <w:numFmt w:val="decimal"/>
      <w:lvlText w:val="1.6.%1"/>
      <w:lvlJc w:val="left"/>
      <w:pPr>
        <w:tabs>
          <w:tab w:val="left" w:pos="420"/>
        </w:tabs>
        <w:ind w:left="425" w:hanging="425"/>
      </w:pPr>
      <w:rPr>
        <w:rFonts w:hint="default"/>
      </w:rPr>
    </w:lvl>
  </w:abstractNum>
  <w:abstractNum w:abstractNumId="5">
    <w:nsid w:val="67AEB9E0"/>
    <w:multiLevelType w:val="singleLevel"/>
    <w:tmpl w:val="67AEB9E0"/>
    <w:lvl w:ilvl="0" w:tentative="0">
      <w:start w:val="1"/>
      <w:numFmt w:val="decimal"/>
      <w:lvlText w:val="%1."/>
      <w:lvlJc w:val="left"/>
      <w:pPr>
        <w:tabs>
          <w:tab w:val="left" w:pos="312"/>
        </w:tabs>
      </w:pPr>
    </w:lvl>
  </w:abstractNum>
  <w:abstractNum w:abstractNumId="6">
    <w:nsid w:val="6948FBFA"/>
    <w:multiLevelType w:val="singleLevel"/>
    <w:tmpl w:val="6948FBFA"/>
    <w:lvl w:ilvl="0" w:tentative="0">
      <w:start w:val="1"/>
      <w:numFmt w:val="upperLetter"/>
      <w:suff w:val="nothing"/>
      <w:lvlText w:val="%1、"/>
      <w:lvlJc w:val="left"/>
    </w:lvl>
  </w:abstractNum>
  <w:abstractNum w:abstractNumId="7">
    <w:nsid w:val="71F06BCC"/>
    <w:multiLevelType w:val="singleLevel"/>
    <w:tmpl w:val="71F06BCC"/>
    <w:lvl w:ilvl="0" w:tentative="0">
      <w:start w:val="2"/>
      <w:numFmt w:val="decimal"/>
      <w:suff w:val="space"/>
      <w:lvlText w:val="%1."/>
      <w:lvlJc w:val="left"/>
    </w:lvl>
  </w:abstractNum>
  <w:num w:numId="1">
    <w:abstractNumId w:val="1"/>
  </w:num>
  <w:num w:numId="2">
    <w:abstractNumId w:val="2"/>
  </w:num>
  <w:num w:numId="3">
    <w:abstractNumId w:val="5"/>
  </w:num>
  <w:num w:numId="4">
    <w:abstractNumId w:val="3"/>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A08E6"/>
    <w:rsid w:val="02ED1893"/>
    <w:rsid w:val="09384A1F"/>
    <w:rsid w:val="17066B3A"/>
    <w:rsid w:val="185C5BFE"/>
    <w:rsid w:val="1B7C7BDB"/>
    <w:rsid w:val="234A08E6"/>
    <w:rsid w:val="2E2A4F49"/>
    <w:rsid w:val="300C557A"/>
    <w:rsid w:val="315862E5"/>
    <w:rsid w:val="3588713E"/>
    <w:rsid w:val="36FB6E33"/>
    <w:rsid w:val="39CD1864"/>
    <w:rsid w:val="3CA818CF"/>
    <w:rsid w:val="3F1A7624"/>
    <w:rsid w:val="418C1EB2"/>
    <w:rsid w:val="45BF6989"/>
    <w:rsid w:val="5378189B"/>
    <w:rsid w:val="5BD803C4"/>
    <w:rsid w:val="6BB54A50"/>
    <w:rsid w:val="6C9E7B65"/>
    <w:rsid w:val="6FE47D36"/>
    <w:rsid w:val="70390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360" w:lineRule="auto"/>
      <w:outlineLvl w:val="0"/>
    </w:pPr>
    <w:rPr>
      <w:rFonts w:ascii="Times New Roman" w:hAnsi="Times New Roman"/>
      <w:kern w:val="44"/>
      <w:sz w:val="32"/>
    </w:rPr>
  </w:style>
  <w:style w:type="paragraph" w:styleId="4">
    <w:name w:val="heading 2"/>
    <w:basedOn w:val="1"/>
    <w:next w:val="1"/>
    <w:unhideWhenUsed/>
    <w:qFormat/>
    <w:uiPriority w:val="0"/>
    <w:pPr>
      <w:keepNext/>
      <w:keepLines/>
      <w:spacing w:before="60" w:after="60" w:line="413" w:lineRule="auto"/>
      <w:outlineLvl w:val="1"/>
    </w:pPr>
    <w:rPr>
      <w:rFonts w:ascii="Arial" w:hAnsi="Arial" w:eastAsia="黑体"/>
      <w:b/>
      <w:kern w:val="2"/>
      <w:sz w:val="21"/>
    </w:rPr>
  </w:style>
  <w:style w:type="paragraph" w:styleId="5">
    <w:name w:val="heading 3"/>
    <w:basedOn w:val="1"/>
    <w:next w:val="1"/>
    <w:unhideWhenUsed/>
    <w:qFormat/>
    <w:uiPriority w:val="0"/>
    <w:pPr>
      <w:keepNext/>
      <w:keepLines/>
      <w:numPr>
        <w:ilvl w:val="2"/>
        <w:numId w:val="1"/>
      </w:numPr>
      <w:tabs>
        <w:tab w:val="left" w:pos="720"/>
        <w:tab w:val="clear" w:pos="0"/>
      </w:tabs>
      <w:adjustRightInd w:val="0"/>
      <w:snapToGrid w:val="0"/>
      <w:spacing w:line="360" w:lineRule="auto"/>
      <w:outlineLvl w:val="2"/>
    </w:pPr>
    <w:rPr>
      <w:rFonts w:eastAsia="宋体"/>
      <w:b/>
    </w:rPr>
  </w:style>
  <w:style w:type="paragraph" w:styleId="6">
    <w:name w:val="heading 5"/>
    <w:basedOn w:val="1"/>
    <w:next w:val="1"/>
    <w:qFormat/>
    <w:uiPriority w:val="0"/>
    <w:pPr>
      <w:keepNext/>
      <w:keepLines/>
      <w:numPr>
        <w:ilvl w:val="4"/>
        <w:numId w:val="1"/>
      </w:numPr>
      <w:adjustRightInd w:val="0"/>
      <w:snapToGrid w:val="0"/>
      <w:spacing w:line="360" w:lineRule="auto"/>
      <w:outlineLvl w:val="4"/>
    </w:pPr>
    <w:rPr>
      <w:rFonts w:eastAsia="宋体"/>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文本1"/>
    <w:basedOn w:val="1"/>
    <w:autoRedefine/>
    <w:qFormat/>
    <w:uiPriority w:val="0"/>
    <w:rPr>
      <w:rFonts w:ascii="金山简黑体" w:hAnsi="Courier New" w:eastAsia="金山简黑体"/>
      <w:b/>
      <w:spacing w:val="-8"/>
      <w:sz w:val="44"/>
    </w:rPr>
  </w:style>
  <w:style w:type="paragraph" w:styleId="7">
    <w:name w:val="Body Text"/>
    <w:basedOn w:val="1"/>
    <w:qFormat/>
    <w:uiPriority w:val="0"/>
    <w:pPr>
      <w:adjustRightInd w:val="0"/>
      <w:spacing w:after="60" w:line="360" w:lineRule="atLeast"/>
      <w:ind w:left="72" w:leftChars="30" w:right="30" w:rightChars="30"/>
      <w:jc w:val="center"/>
      <w:textAlignment w:val="baseline"/>
    </w:pPr>
    <w:rPr>
      <w:szCs w:val="22"/>
    </w:rPr>
  </w:style>
  <w:style w:type="paragraph" w:styleId="8">
    <w:name w:val="Plain Text"/>
    <w:basedOn w:val="1"/>
    <w:qFormat/>
    <w:uiPriority w:val="0"/>
    <w:rPr>
      <w:rFonts w:ascii="宋体" w:hAnsi="Courier New"/>
      <w:szCs w:val="20"/>
    </w:rPr>
  </w:style>
  <w:style w:type="paragraph" w:styleId="9">
    <w:name w:val="footnote text"/>
    <w:basedOn w:val="1"/>
    <w:qFormat/>
    <w:uiPriority w:val="0"/>
    <w:pPr>
      <w:adjustRightInd w:val="0"/>
      <w:spacing w:line="312" w:lineRule="atLeast"/>
      <w:jc w:val="left"/>
      <w:textAlignment w:val="baseline"/>
    </w:pPr>
    <w:rPr>
      <w:rFonts w:eastAsia="宋体"/>
      <w:sz w:val="18"/>
    </w:rPr>
  </w:style>
  <w:style w:type="paragraph" w:styleId="10">
    <w:name w:val="Normal (Web)"/>
    <w:basedOn w:val="1"/>
    <w:qFormat/>
    <w:uiPriority w:val="0"/>
    <w:pPr>
      <w:widowControl/>
      <w:spacing w:before="100" w:beforeAutospacing="1" w:after="100" w:afterAutospacing="1"/>
      <w:jc w:val="left"/>
    </w:pPr>
    <w:rPr>
      <w:rFonts w:ascii="宋体" w:hAnsi="宋体"/>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qFormat/>
    <w:uiPriority w:val="0"/>
    <w:pPr>
      <w:jc w:val="center"/>
    </w:pPr>
    <w:rPr>
      <w:rFonts w:ascii="Calibri" w:hAnsi="Calibri" w:eastAsia="宋体"/>
      <w:szCs w:val="22"/>
    </w:rPr>
  </w:style>
  <w:style w:type="paragraph" w:customStyle="1" w:styleId="15">
    <w:name w:val="Default"/>
    <w:next w:val="9"/>
    <w:autoRedefine/>
    <w:qFormat/>
    <w:uiPriority w:val="0"/>
    <w:pPr>
      <w:widowControl w:val="0"/>
      <w:autoSpaceDE w:val="0"/>
      <w:autoSpaceDN w:val="0"/>
      <w:adjustRightInd w:val="0"/>
    </w:pPr>
    <w:rPr>
      <w:rFonts w:ascii="Times New Roman" w:hAnsi="Times New Roman" w:eastAsia="宋体" w:cs="Times New Roman"/>
      <w:color w:val="000000"/>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4504</Words>
  <Characters>5184</Characters>
  <Lines>0</Lines>
  <Paragraphs>0</Paragraphs>
  <TotalTime>0</TotalTime>
  <ScaleCrop>false</ScaleCrop>
  <LinksUpToDate>false</LinksUpToDate>
  <CharactersWithSpaces>5424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2025-07-10T10:14:00Z</dcterms:created>
  <dc:creator>Administrator</dc:creator>
  <cp:lastModifiedBy>NTKO</cp:lastModifiedBy>
  <cp:lastPrinted>2026-03-19T01:06:04Z</cp:lastPrinted>
  <dcterms:modified xsi:type="dcterms:W3CDTF">2026-03-19T01:06:32Z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B67978CDF1DE49B992AC3710F153583F_11</vt:lpwstr>
  </property>
  <property fmtid="{D5CDD505-2E9C-101B-9397-08002B2CF9AE}" pid="4" name="KSOTemplateDocerSaveRecord">
    <vt:lpwstr>eyJoZGlkIjoiM2ZjMWU5NDIyZDA5MWQ0OWEzOGIyYWM2MGNjMzQwZjYiLCJ1c2VySWQiOiI3MDk0MTUxMTAifQ==</vt:lpwstr>
  </property>
</Properties>
</file>